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bCs/>
          <w:sz w:val="36"/>
          <w:szCs w:val="36"/>
          <w:highlight w:val="none"/>
          <w:lang w:val="en-US" w:eastAsia="zh-CN"/>
        </w:rPr>
      </w:pPr>
      <w:bookmarkStart w:id="0" w:name="_GoBack"/>
      <w:bookmarkEnd w:id="0"/>
      <w:r>
        <w:rPr>
          <w:rFonts w:hint="eastAsia" w:ascii="方正小标宋简体" w:hAnsi="方正小标宋简体" w:eastAsia="方正小标宋简体" w:cs="方正小标宋简体"/>
          <w:b/>
          <w:bCs/>
          <w:color w:val="auto"/>
          <w:kern w:val="2"/>
          <w:sz w:val="36"/>
          <w:szCs w:val="36"/>
          <w:highlight w:val="none"/>
          <w:lang w:val="en-US" w:eastAsia="zh-CN" w:bidi="ar-SA"/>
        </w:rPr>
        <w:t>重庆北碚稠州村镇银行有限责任公司2024年度信息披露报告</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cs="宋体"/>
          <w:b/>
          <w:sz w:val="18"/>
          <w:szCs w:val="18"/>
          <w:highlight w:val="none"/>
        </w:rPr>
      </w:pP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1</w:t>
      </w:r>
      <w:r>
        <w:rPr>
          <w:rFonts w:hint="default" w:ascii="Times New Roman" w:hAnsi="Times New Roman" w:eastAsia="仿宋_GB2312" w:cs="Times New Roman"/>
          <w:b/>
          <w:sz w:val="30"/>
          <w:szCs w:val="30"/>
          <w:highlight w:val="none"/>
          <w:lang w:eastAsia="zh-CN"/>
        </w:rPr>
        <w:t>、</w:t>
      </w:r>
      <w:r>
        <w:rPr>
          <w:rFonts w:hint="default" w:ascii="Times New Roman" w:hAnsi="Times New Roman" w:eastAsia="仿宋_GB2312" w:cs="Times New Roman"/>
          <w:b/>
          <w:sz w:val="30"/>
          <w:szCs w:val="30"/>
          <w:highlight w:val="none"/>
        </w:rPr>
        <w:t>重要提示</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1.1</w:t>
      </w:r>
      <w:r>
        <w:rPr>
          <w:rFonts w:hint="default" w:ascii="Times New Roman" w:hAnsi="Times New Roman" w:eastAsia="仿宋_GB2312" w:cs="Times New Roman"/>
          <w:sz w:val="30"/>
          <w:szCs w:val="30"/>
          <w:highlight w:val="none"/>
          <w:lang w:eastAsia="zh-CN"/>
        </w:rPr>
        <w:t>重庆北碚稠州</w:t>
      </w:r>
      <w:r>
        <w:rPr>
          <w:rFonts w:hint="default" w:ascii="Times New Roman" w:hAnsi="Times New Roman" w:eastAsia="仿宋_GB2312" w:cs="Times New Roman"/>
          <w:sz w:val="30"/>
          <w:szCs w:val="30"/>
          <w:highlight w:val="none"/>
        </w:rPr>
        <w:t>村镇银行</w:t>
      </w:r>
      <w:r>
        <w:rPr>
          <w:rFonts w:hint="default" w:ascii="Times New Roman" w:hAnsi="Times New Roman" w:eastAsia="仿宋_GB2312" w:cs="Times New Roman"/>
          <w:sz w:val="30"/>
          <w:szCs w:val="30"/>
          <w:highlight w:val="none"/>
          <w:lang w:val="en-US" w:eastAsia="zh-CN"/>
        </w:rPr>
        <w:t>有限责任公司</w:t>
      </w:r>
      <w:r>
        <w:rPr>
          <w:rFonts w:hint="default" w:ascii="Times New Roman" w:hAnsi="Times New Roman" w:eastAsia="仿宋_GB2312" w:cs="Times New Roman"/>
          <w:sz w:val="30"/>
          <w:szCs w:val="30"/>
          <w:highlight w:val="none"/>
        </w:rPr>
        <w:t>（以下简称“本公司”或“本行”）董事会、监事会及董事、监事、高级管理人员保证本报告所载资料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sz w:val="30"/>
          <w:szCs w:val="30"/>
          <w:highlight w:val="none"/>
        </w:rPr>
        <w:t>1.2上会会计师事务所</w:t>
      </w:r>
      <w:r>
        <w:rPr>
          <w:rFonts w:hint="default" w:ascii="Times New Roman" w:hAnsi="Times New Roman" w:eastAsia="仿宋_GB2312" w:cs="Times New Roman"/>
          <w:kern w:val="0"/>
          <w:sz w:val="30"/>
          <w:szCs w:val="30"/>
          <w:highlight w:val="none"/>
        </w:rPr>
        <w:t>为本公司出具了标准无保留意见的审计报告。</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1.3</w:t>
      </w:r>
      <w:r>
        <w:rPr>
          <w:rFonts w:hint="default" w:ascii="Times New Roman" w:hAnsi="Times New Roman" w:eastAsia="仿宋_GB2312" w:cs="Times New Roman"/>
          <w:kern w:val="0"/>
          <w:sz w:val="30"/>
          <w:szCs w:val="30"/>
          <w:highlight w:val="none"/>
        </w:rPr>
        <w:t>公司法定代表人</w:t>
      </w:r>
      <w:r>
        <w:rPr>
          <w:rFonts w:hint="default" w:ascii="Times New Roman" w:hAnsi="Times New Roman" w:eastAsia="仿宋_GB2312" w:cs="Times New Roman"/>
          <w:kern w:val="0"/>
          <w:sz w:val="30"/>
          <w:szCs w:val="30"/>
          <w:highlight w:val="none"/>
          <w:lang w:val="en-US" w:eastAsia="zh-CN"/>
        </w:rPr>
        <w:t>金庆洪</w:t>
      </w:r>
      <w:r>
        <w:rPr>
          <w:rFonts w:hint="default" w:ascii="Times New Roman" w:hAnsi="Times New Roman" w:eastAsia="仿宋_GB2312" w:cs="Times New Roman"/>
          <w:kern w:val="0"/>
          <w:sz w:val="30"/>
          <w:szCs w:val="30"/>
          <w:highlight w:val="none"/>
        </w:rPr>
        <w:t>先生、行长</w:t>
      </w:r>
      <w:r>
        <w:rPr>
          <w:rFonts w:hint="default" w:ascii="Times New Roman" w:hAnsi="Times New Roman" w:eastAsia="仿宋_GB2312" w:cs="Times New Roman"/>
          <w:kern w:val="0"/>
          <w:sz w:val="30"/>
          <w:szCs w:val="30"/>
          <w:highlight w:val="none"/>
          <w:lang w:val="en-US" w:eastAsia="zh-CN"/>
        </w:rPr>
        <w:t>陈余娟女士</w:t>
      </w:r>
      <w:r>
        <w:rPr>
          <w:rFonts w:hint="default" w:ascii="Times New Roman" w:hAnsi="Times New Roman" w:eastAsia="仿宋_GB2312" w:cs="Times New Roman"/>
          <w:kern w:val="0"/>
          <w:sz w:val="30"/>
          <w:szCs w:val="30"/>
          <w:highlight w:val="none"/>
        </w:rPr>
        <w:t>、运营管理部负责人</w:t>
      </w:r>
      <w:r>
        <w:rPr>
          <w:rFonts w:hint="default" w:ascii="Times New Roman" w:hAnsi="Times New Roman" w:eastAsia="仿宋_GB2312" w:cs="Times New Roman"/>
          <w:kern w:val="0"/>
          <w:sz w:val="30"/>
          <w:szCs w:val="30"/>
          <w:highlight w:val="none"/>
          <w:lang w:val="en-US" w:eastAsia="zh-CN"/>
        </w:rPr>
        <w:t>王冬先生</w:t>
      </w:r>
      <w:r>
        <w:rPr>
          <w:rFonts w:hint="default" w:ascii="Times New Roman" w:hAnsi="Times New Roman" w:eastAsia="仿宋_GB2312" w:cs="Times New Roman"/>
          <w:kern w:val="0"/>
          <w:sz w:val="30"/>
          <w:szCs w:val="30"/>
          <w:highlight w:val="none"/>
        </w:rPr>
        <w:t>声明：保证年度报告中财务数据的真实、完整。</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2</w:t>
      </w:r>
      <w:r>
        <w:rPr>
          <w:rFonts w:hint="default" w:ascii="Times New Roman" w:hAnsi="Times New Roman" w:eastAsia="仿宋_GB2312" w:cs="Times New Roman"/>
          <w:b/>
          <w:sz w:val="30"/>
          <w:szCs w:val="30"/>
          <w:highlight w:val="none"/>
          <w:lang w:eastAsia="zh-CN"/>
        </w:rPr>
        <w:t>、</w:t>
      </w:r>
      <w:r>
        <w:rPr>
          <w:rFonts w:hint="default" w:ascii="Times New Roman" w:hAnsi="Times New Roman" w:eastAsia="仿宋_GB2312" w:cs="Times New Roman"/>
          <w:b/>
          <w:sz w:val="30"/>
          <w:szCs w:val="30"/>
          <w:highlight w:val="none"/>
        </w:rPr>
        <w:t>本公司基本情况简介</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kern w:val="0"/>
          <w:sz w:val="30"/>
          <w:szCs w:val="30"/>
          <w:highlight w:val="none"/>
        </w:rPr>
        <w:t>2.1基本情况简介</w:t>
      </w:r>
    </w:p>
    <w:tbl>
      <w:tblPr>
        <w:tblStyle w:val="3"/>
        <w:tblW w:w="8320" w:type="dxa"/>
        <w:jc w:val="center"/>
        <w:tblLayout w:type="fixed"/>
        <w:tblCellMar>
          <w:top w:w="0" w:type="dxa"/>
          <w:left w:w="0" w:type="dxa"/>
          <w:bottom w:w="0" w:type="dxa"/>
          <w:right w:w="0" w:type="dxa"/>
        </w:tblCellMar>
      </w:tblPr>
      <w:tblGrid>
        <w:gridCol w:w="2788"/>
        <w:gridCol w:w="5532"/>
      </w:tblGrid>
      <w:tr>
        <w:tblPrEx>
          <w:tblCellMar>
            <w:top w:w="0" w:type="dxa"/>
            <w:left w:w="0" w:type="dxa"/>
            <w:bottom w:w="0" w:type="dxa"/>
            <w:right w:w="0" w:type="dxa"/>
          </w:tblCellMar>
        </w:tblPrEx>
        <w:trPr>
          <w:trHeight w:val="575" w:hRule="atLeast"/>
          <w:jc w:val="center"/>
        </w:trPr>
        <w:tc>
          <w:tcPr>
            <w:tcW w:w="27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法定中文名称</w:t>
            </w:r>
          </w:p>
        </w:tc>
        <w:tc>
          <w:tcPr>
            <w:tcW w:w="55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left="10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z w:val="24"/>
                <w:szCs w:val="24"/>
                <w:highlight w:val="none"/>
                <w:lang w:eastAsia="zh-CN"/>
              </w:rPr>
              <w:t>重庆北碚稠州</w:t>
            </w:r>
            <w:r>
              <w:rPr>
                <w:rFonts w:hint="default" w:ascii="Times New Roman" w:hAnsi="Times New Roman" w:eastAsia="仿宋_GB2312" w:cs="Times New Roman"/>
                <w:sz w:val="24"/>
                <w:szCs w:val="24"/>
                <w:highlight w:val="none"/>
              </w:rPr>
              <w:t>村镇银行有限</w:t>
            </w:r>
            <w:r>
              <w:rPr>
                <w:rFonts w:hint="default" w:ascii="Times New Roman" w:hAnsi="Times New Roman" w:eastAsia="仿宋_GB2312" w:cs="Times New Roman"/>
                <w:sz w:val="24"/>
                <w:szCs w:val="24"/>
                <w:highlight w:val="none"/>
                <w:lang w:val="en-US" w:eastAsia="zh-CN"/>
              </w:rPr>
              <w:t>责任</w:t>
            </w:r>
            <w:r>
              <w:rPr>
                <w:rFonts w:hint="default" w:ascii="Times New Roman" w:hAnsi="Times New Roman" w:eastAsia="仿宋_GB2312" w:cs="Times New Roman"/>
                <w:sz w:val="24"/>
                <w:szCs w:val="24"/>
                <w:highlight w:val="none"/>
              </w:rPr>
              <w:t>公司（简称：</w:t>
            </w:r>
            <w:r>
              <w:rPr>
                <w:rFonts w:hint="default" w:ascii="Times New Roman" w:hAnsi="Times New Roman" w:eastAsia="仿宋_GB2312" w:cs="Times New Roman"/>
                <w:sz w:val="24"/>
                <w:szCs w:val="24"/>
                <w:highlight w:val="none"/>
                <w:lang w:eastAsia="zh-CN"/>
              </w:rPr>
              <w:t>重庆北碚稠州</w:t>
            </w:r>
            <w:r>
              <w:rPr>
                <w:rFonts w:hint="default" w:ascii="Times New Roman" w:hAnsi="Times New Roman" w:eastAsia="仿宋_GB2312" w:cs="Times New Roman"/>
                <w:sz w:val="24"/>
                <w:szCs w:val="24"/>
                <w:highlight w:val="none"/>
              </w:rPr>
              <w:t>村镇银行）</w:t>
            </w:r>
          </w:p>
        </w:tc>
      </w:tr>
      <w:tr>
        <w:tblPrEx>
          <w:tblCellMar>
            <w:top w:w="0" w:type="dxa"/>
            <w:left w:w="0" w:type="dxa"/>
            <w:bottom w:w="0" w:type="dxa"/>
            <w:right w:w="0" w:type="dxa"/>
          </w:tblCellMar>
        </w:tblPrEx>
        <w:trPr>
          <w:trHeight w:val="350" w:hRule="atLeast"/>
          <w:jc w:val="center"/>
        </w:trPr>
        <w:tc>
          <w:tcPr>
            <w:tcW w:w="27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法定英文名称</w:t>
            </w:r>
          </w:p>
        </w:tc>
        <w:tc>
          <w:tcPr>
            <w:tcW w:w="5532" w:type="dxa"/>
            <w:tcBorders>
              <w:top w:val="single" w:color="000000" w:sz="6" w:space="0"/>
              <w:left w:val="single" w:color="000000" w:sz="6" w:space="0"/>
              <w:bottom w:val="single" w:color="000000" w:sz="6" w:space="0"/>
              <w:right w:val="single" w:color="000000" w:sz="6" w:space="0"/>
            </w:tcBorders>
            <w:noWrap w:val="0"/>
            <w:vAlign w:val="center"/>
          </w:tcPr>
          <w:p>
            <w:pPr>
              <w:pStyle w:val="5"/>
              <w:spacing w:line="500" w:lineRule="exact"/>
              <w:ind w:firstLine="240" w:firstLineChars="100"/>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CHONGQING BEIBEI CHOUZHOU RURAL BANK</w:t>
            </w:r>
          </w:p>
        </w:tc>
      </w:tr>
      <w:tr>
        <w:tblPrEx>
          <w:tblCellMar>
            <w:top w:w="0" w:type="dxa"/>
            <w:left w:w="0" w:type="dxa"/>
            <w:bottom w:w="0" w:type="dxa"/>
            <w:right w:w="0" w:type="dxa"/>
          </w:tblCellMar>
        </w:tblPrEx>
        <w:trPr>
          <w:trHeight w:val="208" w:hRule="atLeast"/>
          <w:jc w:val="center"/>
        </w:trPr>
        <w:tc>
          <w:tcPr>
            <w:tcW w:w="27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法定代表人</w:t>
            </w:r>
          </w:p>
        </w:tc>
        <w:tc>
          <w:tcPr>
            <w:tcW w:w="55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金庆洪</w:t>
            </w:r>
          </w:p>
        </w:tc>
      </w:tr>
      <w:tr>
        <w:tblPrEx>
          <w:tblCellMar>
            <w:top w:w="0" w:type="dxa"/>
            <w:left w:w="0" w:type="dxa"/>
            <w:bottom w:w="0" w:type="dxa"/>
            <w:right w:w="0" w:type="dxa"/>
          </w:tblCellMar>
        </w:tblPrEx>
        <w:trPr>
          <w:trHeight w:val="328" w:hRule="atLeast"/>
          <w:jc w:val="center"/>
        </w:trPr>
        <w:tc>
          <w:tcPr>
            <w:tcW w:w="27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注册地址</w:t>
            </w:r>
          </w:p>
        </w:tc>
        <w:tc>
          <w:tcPr>
            <w:tcW w:w="55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sz w:val="24"/>
                <w:szCs w:val="24"/>
                <w:highlight w:val="none"/>
                <w:lang w:val="en-US" w:eastAsia="zh-CN"/>
              </w:rPr>
              <w:t>重庆市北碚区云华路214号、216号、218号、200号附10、11、12、13、16号</w:t>
            </w:r>
          </w:p>
        </w:tc>
      </w:tr>
      <w:tr>
        <w:tblPrEx>
          <w:tblCellMar>
            <w:top w:w="0" w:type="dxa"/>
            <w:left w:w="0" w:type="dxa"/>
            <w:bottom w:w="0" w:type="dxa"/>
            <w:right w:w="0" w:type="dxa"/>
          </w:tblCellMar>
        </w:tblPrEx>
        <w:trPr>
          <w:trHeight w:val="328" w:hRule="atLeast"/>
          <w:jc w:val="center"/>
        </w:trPr>
        <w:tc>
          <w:tcPr>
            <w:tcW w:w="27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邮政编码</w:t>
            </w:r>
          </w:p>
        </w:tc>
        <w:tc>
          <w:tcPr>
            <w:tcW w:w="55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400700</w:t>
            </w:r>
          </w:p>
        </w:tc>
      </w:tr>
      <w:tr>
        <w:tblPrEx>
          <w:tblCellMar>
            <w:top w:w="0" w:type="dxa"/>
            <w:left w:w="0" w:type="dxa"/>
            <w:bottom w:w="0" w:type="dxa"/>
            <w:right w:w="0" w:type="dxa"/>
          </w:tblCellMar>
        </w:tblPrEx>
        <w:trPr>
          <w:trHeight w:val="328" w:hRule="atLeast"/>
          <w:jc w:val="center"/>
        </w:trPr>
        <w:tc>
          <w:tcPr>
            <w:tcW w:w="27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国际互联网网址</w:t>
            </w:r>
          </w:p>
        </w:tc>
        <w:tc>
          <w:tcPr>
            <w:tcW w:w="55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sz w:val="24"/>
                <w:szCs w:val="24"/>
                <w:highlight w:val="none"/>
                <w:lang w:val="en-US" w:eastAsia="zh-CN"/>
              </w:rPr>
              <w:t>http：//bb.czcb.com.cn</w:t>
            </w:r>
          </w:p>
        </w:tc>
      </w:tr>
      <w:tr>
        <w:tblPrEx>
          <w:tblCellMar>
            <w:top w:w="0" w:type="dxa"/>
            <w:left w:w="0" w:type="dxa"/>
            <w:bottom w:w="0" w:type="dxa"/>
            <w:right w:w="0" w:type="dxa"/>
          </w:tblCellMar>
        </w:tblPrEx>
        <w:trPr>
          <w:trHeight w:val="328" w:hRule="atLeast"/>
          <w:jc w:val="center"/>
        </w:trPr>
        <w:tc>
          <w:tcPr>
            <w:tcW w:w="27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kern w:val="0"/>
                <w:position w:val="-2"/>
                <w:sz w:val="24"/>
                <w:szCs w:val="24"/>
                <w:highlight w:val="none"/>
              </w:rPr>
            </w:pPr>
            <w:r>
              <w:rPr>
                <w:rFonts w:hint="default" w:ascii="Times New Roman" w:hAnsi="Times New Roman" w:eastAsia="仿宋_GB2312" w:cs="Times New Roman"/>
                <w:kern w:val="0"/>
                <w:position w:val="-2"/>
                <w:sz w:val="24"/>
                <w:szCs w:val="24"/>
                <w:highlight w:val="none"/>
              </w:rPr>
              <w:t>电子信箱</w:t>
            </w:r>
          </w:p>
        </w:tc>
        <w:tc>
          <w:tcPr>
            <w:tcW w:w="55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240" w:firstLineChars="100"/>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u w:val="single"/>
                <w:lang w:val="en-US" w:eastAsia="zh-CN"/>
              </w:rPr>
              <w:t>bbczrb@163.com</w:t>
            </w:r>
          </w:p>
        </w:tc>
      </w:tr>
    </w:tbl>
    <w:p>
      <w:pPr>
        <w:ind w:firstLine="590" w:firstLineChars="196"/>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2.2信息披露及联系方式</w:t>
      </w:r>
    </w:p>
    <w:tbl>
      <w:tblPr>
        <w:tblStyle w:val="3"/>
        <w:tblW w:w="8320" w:type="dxa"/>
        <w:jc w:val="center"/>
        <w:tblLayout w:type="fixed"/>
        <w:tblCellMar>
          <w:top w:w="0" w:type="dxa"/>
          <w:left w:w="0" w:type="dxa"/>
          <w:bottom w:w="0" w:type="dxa"/>
          <w:right w:w="0" w:type="dxa"/>
        </w:tblCellMar>
      </w:tblPr>
      <w:tblGrid>
        <w:gridCol w:w="2787"/>
        <w:gridCol w:w="5533"/>
      </w:tblGrid>
      <w:tr>
        <w:tblPrEx>
          <w:tblCellMar>
            <w:top w:w="0" w:type="dxa"/>
            <w:left w:w="0" w:type="dxa"/>
            <w:bottom w:w="0" w:type="dxa"/>
            <w:right w:w="0" w:type="dxa"/>
          </w:tblCellMar>
        </w:tblPrEx>
        <w:trPr>
          <w:trHeight w:val="357" w:hRule="atLeast"/>
          <w:jc w:val="center"/>
        </w:trPr>
        <w:tc>
          <w:tcPr>
            <w:tcW w:w="278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120" w:firstLineChars="5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刊登年报摘要的网站</w:t>
            </w:r>
          </w:p>
        </w:tc>
        <w:tc>
          <w:tcPr>
            <w:tcW w:w="55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sz w:val="24"/>
                <w:szCs w:val="24"/>
                <w:highlight w:val="none"/>
                <w:lang w:eastAsia="zh-CN"/>
              </w:rPr>
              <w:t>重庆北碚稠州</w:t>
            </w:r>
            <w:r>
              <w:rPr>
                <w:rFonts w:hint="default" w:ascii="Times New Roman" w:hAnsi="Times New Roman" w:eastAsia="仿宋_GB2312" w:cs="Times New Roman"/>
                <w:sz w:val="24"/>
                <w:szCs w:val="24"/>
                <w:highlight w:val="none"/>
              </w:rPr>
              <w:t>村镇银行有限</w:t>
            </w:r>
            <w:r>
              <w:rPr>
                <w:rFonts w:hint="default" w:ascii="Times New Roman" w:hAnsi="Times New Roman" w:eastAsia="仿宋_GB2312" w:cs="Times New Roman"/>
                <w:sz w:val="24"/>
                <w:szCs w:val="24"/>
                <w:highlight w:val="none"/>
                <w:lang w:val="en-US" w:eastAsia="zh-CN"/>
              </w:rPr>
              <w:t>责任</w:t>
            </w:r>
            <w:r>
              <w:rPr>
                <w:rFonts w:hint="default" w:ascii="Times New Roman" w:hAnsi="Times New Roman" w:eastAsia="仿宋_GB2312" w:cs="Times New Roman"/>
                <w:sz w:val="24"/>
                <w:szCs w:val="24"/>
                <w:highlight w:val="none"/>
              </w:rPr>
              <w:t>公司官方网站</w:t>
            </w:r>
          </w:p>
        </w:tc>
      </w:tr>
      <w:tr>
        <w:tblPrEx>
          <w:tblCellMar>
            <w:top w:w="0" w:type="dxa"/>
            <w:left w:w="0" w:type="dxa"/>
            <w:bottom w:w="0" w:type="dxa"/>
            <w:right w:w="0" w:type="dxa"/>
          </w:tblCellMar>
        </w:tblPrEx>
        <w:trPr>
          <w:trHeight w:val="357" w:hRule="atLeast"/>
          <w:jc w:val="center"/>
        </w:trPr>
        <w:tc>
          <w:tcPr>
            <w:tcW w:w="278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120" w:firstLineChars="5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年度报告备置地点</w:t>
            </w:r>
          </w:p>
        </w:tc>
        <w:tc>
          <w:tcPr>
            <w:tcW w:w="55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left="10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本行董事会办公室</w:t>
            </w:r>
          </w:p>
        </w:tc>
      </w:tr>
      <w:tr>
        <w:tblPrEx>
          <w:tblCellMar>
            <w:top w:w="0" w:type="dxa"/>
            <w:left w:w="0" w:type="dxa"/>
            <w:bottom w:w="0" w:type="dxa"/>
            <w:right w:w="0" w:type="dxa"/>
          </w:tblCellMar>
        </w:tblPrEx>
        <w:trPr>
          <w:trHeight w:val="357" w:hRule="atLeast"/>
          <w:jc w:val="center"/>
        </w:trPr>
        <w:tc>
          <w:tcPr>
            <w:tcW w:w="278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120" w:firstLineChars="5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地址</w:t>
            </w:r>
          </w:p>
        </w:tc>
        <w:tc>
          <w:tcPr>
            <w:tcW w:w="55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left="101"/>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z w:val="24"/>
                <w:szCs w:val="24"/>
                <w:highlight w:val="none"/>
                <w:lang w:val="en-US" w:eastAsia="zh-CN"/>
              </w:rPr>
              <w:t>重庆市北碚区云华</w:t>
            </w:r>
            <w:r>
              <w:rPr>
                <w:rFonts w:hint="default" w:ascii="Times New Roman" w:hAnsi="Times New Roman" w:eastAsia="仿宋_GB2312" w:cs="Times New Roman"/>
                <w:color w:val="auto"/>
                <w:sz w:val="24"/>
                <w:szCs w:val="24"/>
                <w:highlight w:val="none"/>
                <w:lang w:val="en-US" w:eastAsia="zh-CN"/>
              </w:rPr>
              <w:t>路218号</w:t>
            </w:r>
          </w:p>
        </w:tc>
      </w:tr>
      <w:tr>
        <w:tblPrEx>
          <w:tblCellMar>
            <w:top w:w="0" w:type="dxa"/>
            <w:left w:w="0" w:type="dxa"/>
            <w:bottom w:w="0" w:type="dxa"/>
            <w:right w:w="0" w:type="dxa"/>
          </w:tblCellMar>
        </w:tblPrEx>
        <w:trPr>
          <w:trHeight w:val="357" w:hRule="atLeast"/>
          <w:jc w:val="center"/>
        </w:trPr>
        <w:tc>
          <w:tcPr>
            <w:tcW w:w="278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120" w:firstLineChars="5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联系电话</w:t>
            </w:r>
          </w:p>
        </w:tc>
        <w:tc>
          <w:tcPr>
            <w:tcW w:w="55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rPr>
              <w:t xml:space="preserve"> </w:t>
            </w:r>
            <w:r>
              <w:rPr>
                <w:rFonts w:hint="default" w:ascii="Times New Roman" w:hAnsi="Times New Roman" w:eastAsia="仿宋_GB2312" w:cs="Times New Roman"/>
                <w:kern w:val="0"/>
                <w:sz w:val="24"/>
                <w:szCs w:val="24"/>
                <w:highlight w:val="none"/>
                <w:lang w:val="en-US" w:eastAsia="zh-CN"/>
              </w:rPr>
              <w:t>023-88028855</w:t>
            </w:r>
          </w:p>
        </w:tc>
      </w:tr>
      <w:tr>
        <w:tblPrEx>
          <w:tblCellMar>
            <w:top w:w="0" w:type="dxa"/>
            <w:left w:w="0" w:type="dxa"/>
            <w:bottom w:w="0" w:type="dxa"/>
            <w:right w:w="0" w:type="dxa"/>
          </w:tblCellMar>
        </w:tblPrEx>
        <w:trPr>
          <w:trHeight w:val="387" w:hRule="atLeast"/>
          <w:jc w:val="center"/>
        </w:trPr>
        <w:tc>
          <w:tcPr>
            <w:tcW w:w="278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121" w:firstLineChars="5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pacing w:val="1"/>
                <w:kern w:val="0"/>
                <w:position w:val="-2"/>
                <w:sz w:val="24"/>
                <w:szCs w:val="24"/>
                <w:highlight w:val="none"/>
              </w:rPr>
              <w:t>传真</w:t>
            </w:r>
          </w:p>
        </w:tc>
        <w:tc>
          <w:tcPr>
            <w:tcW w:w="55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left="102"/>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val="en-US" w:eastAsia="zh-CN"/>
              </w:rPr>
              <w:t>023-88028855</w:t>
            </w:r>
          </w:p>
        </w:tc>
      </w:tr>
    </w:tbl>
    <w:p>
      <w:pPr>
        <w:ind w:firstLine="602" w:firstLineChars="200"/>
        <w:rPr>
          <w:rFonts w:hint="default" w:ascii="Times New Roman" w:hAnsi="Times New Roman" w:eastAsia="仿宋_GB2312" w:cs="Times New Roman"/>
          <w:b/>
          <w:bCs/>
          <w:sz w:val="30"/>
          <w:szCs w:val="30"/>
          <w:highlight w:val="none"/>
        </w:rPr>
      </w:pPr>
      <w:r>
        <w:rPr>
          <w:rFonts w:hint="default" w:ascii="Times New Roman" w:hAnsi="Times New Roman" w:eastAsia="仿宋_GB2312" w:cs="Times New Roman"/>
          <w:b/>
          <w:bCs/>
          <w:sz w:val="30"/>
          <w:szCs w:val="30"/>
          <w:highlight w:val="none"/>
        </w:rPr>
        <w:t>3</w:t>
      </w:r>
      <w:r>
        <w:rPr>
          <w:rFonts w:hint="default" w:ascii="Times New Roman" w:hAnsi="Times New Roman" w:eastAsia="仿宋_GB2312" w:cs="Times New Roman"/>
          <w:b/>
          <w:bCs/>
          <w:sz w:val="30"/>
          <w:szCs w:val="30"/>
          <w:highlight w:val="none"/>
          <w:lang w:eastAsia="zh-CN"/>
        </w:rPr>
        <w:t>、</w:t>
      </w:r>
      <w:r>
        <w:rPr>
          <w:rFonts w:hint="default" w:ascii="Times New Roman" w:hAnsi="Times New Roman" w:eastAsia="仿宋_GB2312" w:cs="Times New Roman"/>
          <w:b/>
          <w:bCs/>
          <w:sz w:val="30"/>
          <w:szCs w:val="30"/>
          <w:highlight w:val="none"/>
        </w:rPr>
        <w:t>会计数据和业务数据摘要</w:t>
      </w:r>
    </w:p>
    <w:p>
      <w:pPr>
        <w:autoSpaceDE w:val="0"/>
        <w:autoSpaceDN w:val="0"/>
        <w:adjustRightInd w:val="0"/>
        <w:ind w:firstLine="602" w:firstLineChars="200"/>
        <w:rPr>
          <w:rFonts w:hint="default" w:ascii="Times New Roman" w:hAnsi="Times New Roman" w:cs="Times New Roman"/>
          <w:kern w:val="0"/>
          <w:position w:val="-2"/>
          <w:szCs w:val="21"/>
          <w:highlight w:val="none"/>
        </w:rPr>
      </w:pPr>
      <w:r>
        <w:rPr>
          <w:rFonts w:hint="default" w:ascii="Times New Roman" w:hAnsi="Times New Roman" w:eastAsia="仿宋_GB2312" w:cs="Times New Roman"/>
          <w:b/>
          <w:kern w:val="0"/>
          <w:sz w:val="30"/>
          <w:szCs w:val="30"/>
          <w:highlight w:val="none"/>
        </w:rPr>
        <w:t>3.1 主要会计数据</w:t>
      </w:r>
      <w:r>
        <w:rPr>
          <w:rFonts w:hint="default" w:ascii="Times New Roman" w:hAnsi="Times New Roman" w:eastAsia="仿宋_GB2312" w:cs="Times New Roman"/>
          <w:kern w:val="0"/>
          <w:position w:val="-2"/>
          <w:sz w:val="30"/>
          <w:szCs w:val="30"/>
          <w:highlight w:val="none"/>
        </w:rPr>
        <w:t xml:space="preserve">         </w:t>
      </w:r>
      <w:r>
        <w:rPr>
          <w:rFonts w:hint="default" w:ascii="Times New Roman" w:hAnsi="Times New Roman" w:cs="Times New Roman"/>
          <w:kern w:val="0"/>
          <w:position w:val="-2"/>
          <w:szCs w:val="21"/>
          <w:highlight w:val="none"/>
        </w:rPr>
        <w:t xml:space="preserve">                                       </w:t>
      </w:r>
    </w:p>
    <w:p>
      <w:pPr>
        <w:autoSpaceDE w:val="0"/>
        <w:autoSpaceDN w:val="0"/>
        <w:adjustRightInd w:val="0"/>
        <w:ind w:firstLine="420" w:firstLineChars="200"/>
        <w:jc w:val="right"/>
        <w:rPr>
          <w:rFonts w:hint="default" w:ascii="Times New Roman" w:hAnsi="Times New Roman" w:cs="Times New Roman"/>
          <w:kern w:val="0"/>
          <w:position w:val="-2"/>
          <w:szCs w:val="21"/>
          <w:highlight w:val="none"/>
        </w:rPr>
      </w:pPr>
      <w:r>
        <w:rPr>
          <w:rFonts w:hint="default" w:ascii="Times New Roman" w:hAnsi="Times New Roman" w:cs="Times New Roman"/>
          <w:szCs w:val="21"/>
          <w:highlight w:val="none"/>
        </w:rPr>
        <w:t>单位：人民币万元</w:t>
      </w:r>
    </w:p>
    <w:tbl>
      <w:tblPr>
        <w:tblStyle w:val="3"/>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86" w:type="dxa"/>
            <w:noWrap w:val="0"/>
            <w:vAlign w:val="center"/>
          </w:tcPr>
          <w:p>
            <w:pPr>
              <w:autoSpaceDE w:val="0"/>
              <w:autoSpaceDN w:val="0"/>
              <w:adjustRightIn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主要会计数据</w:t>
            </w:r>
          </w:p>
        </w:tc>
        <w:tc>
          <w:tcPr>
            <w:tcW w:w="5622" w:type="dxa"/>
            <w:noWrap w:val="0"/>
            <w:vAlign w:val="center"/>
          </w:tcPr>
          <w:p>
            <w:pPr>
              <w:autoSpaceDE w:val="0"/>
              <w:autoSpaceDN w:val="0"/>
              <w:adjustRightIn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202</w:t>
            </w:r>
            <w:r>
              <w:rPr>
                <w:rFonts w:hint="default" w:ascii="Times New Roman" w:hAnsi="Times New Roman" w:eastAsia="仿宋_GB2312" w:cs="Times New Roman"/>
                <w:b/>
                <w:kern w:val="0"/>
                <w:sz w:val="24"/>
                <w:szCs w:val="24"/>
                <w:highlight w:val="none"/>
                <w:lang w:val="en-US"/>
              </w:rPr>
              <w:t>4</w:t>
            </w:r>
            <w:r>
              <w:rPr>
                <w:rFonts w:hint="default" w:ascii="Times New Roman" w:hAnsi="Times New Roman" w:eastAsia="仿宋_GB2312" w:cs="Times New Roman"/>
                <w:b/>
                <w:kern w:val="0"/>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86" w:type="dxa"/>
            <w:noWrap w:val="0"/>
            <w:vAlign w:val="center"/>
          </w:tcPr>
          <w:p>
            <w:pPr>
              <w:autoSpaceDE w:val="0"/>
              <w:autoSpaceDN w:val="0"/>
              <w:adjustRightInd w:val="0"/>
              <w:ind w:left="10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pacing w:val="1"/>
                <w:kern w:val="0"/>
                <w:position w:val="-2"/>
                <w:sz w:val="24"/>
                <w:szCs w:val="24"/>
                <w:highlight w:val="none"/>
              </w:rPr>
              <w:t>营业收入</w:t>
            </w:r>
          </w:p>
        </w:tc>
        <w:tc>
          <w:tcPr>
            <w:tcW w:w="5622" w:type="dxa"/>
            <w:noWrap w:val="0"/>
            <w:vAlign w:val="center"/>
          </w:tcPr>
          <w:p>
            <w:pPr>
              <w:widowControl/>
              <w:jc w:val="center"/>
              <w:textAlignment w:val="center"/>
              <w:rPr>
                <w:rFonts w:hint="default" w:ascii="Times New Roman" w:hAnsi="Times New Roman" w:eastAsia="仿宋_GB2312" w:cs="Times New Roman"/>
                <w:sz w:val="24"/>
                <w:szCs w:val="24"/>
                <w:highlight w:val="none"/>
                <w:lang w:val="en-US"/>
              </w:rPr>
            </w:pPr>
            <w:r>
              <w:rPr>
                <w:rFonts w:hint="default" w:ascii="Times New Roman" w:hAnsi="Times New Roman" w:eastAsia="仿宋_GB2312" w:cs="Times New Roman"/>
                <w:b/>
                <w:bCs/>
                <w:sz w:val="24"/>
                <w:szCs w:val="24"/>
                <w:highlight w:val="none"/>
                <w:lang w:val="en-US" w:eastAsia="zh-CN"/>
              </w:rPr>
              <w:t>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86" w:type="dxa"/>
            <w:noWrap w:val="0"/>
            <w:vAlign w:val="center"/>
          </w:tcPr>
          <w:p>
            <w:pPr>
              <w:autoSpaceDE w:val="0"/>
              <w:autoSpaceDN w:val="0"/>
              <w:adjustRightInd w:val="0"/>
              <w:ind w:left="100"/>
              <w:jc w:val="center"/>
              <w:rPr>
                <w:rFonts w:hint="default" w:ascii="Times New Roman" w:hAnsi="Times New Roman" w:eastAsia="仿宋_GB2312" w:cs="Times New Roman"/>
                <w:spacing w:val="1"/>
                <w:kern w:val="0"/>
                <w:position w:val="-2"/>
                <w:sz w:val="24"/>
                <w:szCs w:val="24"/>
                <w:highlight w:val="none"/>
              </w:rPr>
            </w:pPr>
            <w:r>
              <w:rPr>
                <w:rFonts w:hint="default" w:ascii="Times New Roman" w:hAnsi="Times New Roman" w:eastAsia="仿宋_GB2312" w:cs="Times New Roman"/>
                <w:spacing w:val="1"/>
                <w:kern w:val="0"/>
                <w:position w:val="-2"/>
                <w:sz w:val="24"/>
                <w:szCs w:val="24"/>
                <w:highlight w:val="none"/>
              </w:rPr>
              <w:t>营业支出</w:t>
            </w:r>
          </w:p>
        </w:tc>
        <w:tc>
          <w:tcPr>
            <w:tcW w:w="5622" w:type="dxa"/>
            <w:noWrap w:val="0"/>
            <w:vAlign w:val="center"/>
          </w:tcPr>
          <w:p>
            <w:pPr>
              <w:widowControl/>
              <w:jc w:val="center"/>
              <w:textAlignment w:val="center"/>
              <w:rPr>
                <w:rFonts w:hint="default" w:ascii="Times New Roman" w:hAnsi="Times New Roman" w:eastAsia="仿宋_GB2312" w:cs="Times New Roman"/>
                <w:sz w:val="24"/>
                <w:szCs w:val="24"/>
                <w:highlight w:val="none"/>
                <w:lang w:val="en-US"/>
              </w:rPr>
            </w:pPr>
            <w:r>
              <w:rPr>
                <w:rFonts w:hint="default" w:ascii="Times New Roman" w:hAnsi="Times New Roman" w:eastAsia="仿宋_GB2312" w:cs="Times New Roman"/>
                <w:b/>
                <w:bCs/>
                <w:sz w:val="24"/>
                <w:szCs w:val="24"/>
                <w:highlight w:val="none"/>
                <w:lang w:val="en-US" w:eastAsia="zh-CN"/>
              </w:rPr>
              <w:t>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86" w:type="dxa"/>
            <w:noWrap w:val="0"/>
            <w:vAlign w:val="center"/>
          </w:tcPr>
          <w:p>
            <w:pPr>
              <w:autoSpaceDE w:val="0"/>
              <w:autoSpaceDN w:val="0"/>
              <w:adjustRightInd w:val="0"/>
              <w:ind w:left="100"/>
              <w:jc w:val="center"/>
              <w:rPr>
                <w:rFonts w:hint="default" w:ascii="Times New Roman" w:hAnsi="Times New Roman" w:eastAsia="仿宋_GB2312" w:cs="Times New Roman"/>
                <w:spacing w:val="1"/>
                <w:kern w:val="0"/>
                <w:position w:val="-2"/>
                <w:sz w:val="24"/>
                <w:szCs w:val="24"/>
                <w:highlight w:val="none"/>
              </w:rPr>
            </w:pPr>
            <w:r>
              <w:rPr>
                <w:rFonts w:hint="default" w:ascii="Times New Roman" w:hAnsi="Times New Roman" w:eastAsia="仿宋_GB2312" w:cs="Times New Roman"/>
                <w:spacing w:val="1"/>
                <w:kern w:val="0"/>
                <w:position w:val="-2"/>
                <w:sz w:val="24"/>
                <w:szCs w:val="24"/>
                <w:highlight w:val="none"/>
              </w:rPr>
              <w:t>营业利润</w:t>
            </w:r>
          </w:p>
        </w:tc>
        <w:tc>
          <w:tcPr>
            <w:tcW w:w="5622" w:type="dxa"/>
            <w:noWrap w:val="0"/>
            <w:vAlign w:val="center"/>
          </w:tcPr>
          <w:p>
            <w:pPr>
              <w:widowControl/>
              <w:jc w:val="center"/>
              <w:textAlignment w:val="center"/>
              <w:rPr>
                <w:rFonts w:hint="default" w:ascii="Times New Roman" w:hAnsi="Times New Roman" w:eastAsia="仿宋_GB2312" w:cs="Times New Roman"/>
                <w:sz w:val="24"/>
                <w:szCs w:val="24"/>
                <w:highlight w:val="none"/>
                <w:lang w:val="en-US"/>
              </w:rPr>
            </w:pPr>
            <w:r>
              <w:rPr>
                <w:rFonts w:hint="default" w:ascii="Times New Roman" w:hAnsi="Times New Roman" w:eastAsia="仿宋_GB2312" w:cs="Times New Roman"/>
                <w:b/>
                <w:bCs/>
                <w:sz w:val="24"/>
                <w:szCs w:val="24"/>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86" w:type="dxa"/>
            <w:noWrap w:val="0"/>
            <w:vAlign w:val="center"/>
          </w:tcPr>
          <w:p>
            <w:pPr>
              <w:autoSpaceDE w:val="0"/>
              <w:autoSpaceDN w:val="0"/>
              <w:adjustRightInd w:val="0"/>
              <w:ind w:left="10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pacing w:val="1"/>
                <w:kern w:val="0"/>
                <w:position w:val="-2"/>
                <w:sz w:val="24"/>
                <w:szCs w:val="24"/>
                <w:highlight w:val="none"/>
              </w:rPr>
              <w:t>利润总额</w:t>
            </w:r>
          </w:p>
        </w:tc>
        <w:tc>
          <w:tcPr>
            <w:tcW w:w="5622" w:type="dxa"/>
            <w:noWrap w:val="0"/>
            <w:vAlign w:val="center"/>
          </w:tcPr>
          <w:p>
            <w:pPr>
              <w:widowControl/>
              <w:jc w:val="center"/>
              <w:textAlignment w:val="center"/>
              <w:rPr>
                <w:rFonts w:hint="default" w:ascii="Times New Roman" w:hAnsi="Times New Roman" w:eastAsia="仿宋_GB2312" w:cs="Times New Roman"/>
                <w:sz w:val="24"/>
                <w:szCs w:val="24"/>
                <w:highlight w:val="none"/>
                <w:lang w:val="en-US"/>
              </w:rPr>
            </w:pPr>
            <w:r>
              <w:rPr>
                <w:rFonts w:hint="default" w:ascii="Times New Roman" w:hAnsi="Times New Roman" w:eastAsia="仿宋_GB2312" w:cs="Times New Roman"/>
                <w:b/>
                <w:bCs/>
                <w:sz w:val="24"/>
                <w:szCs w:val="24"/>
                <w:highlight w:val="none"/>
                <w:lang w:val="en-US" w:eastAsia="zh-CN"/>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86" w:type="dxa"/>
            <w:noWrap w:val="0"/>
            <w:vAlign w:val="center"/>
          </w:tcPr>
          <w:p>
            <w:pPr>
              <w:autoSpaceDE w:val="0"/>
              <w:autoSpaceDN w:val="0"/>
              <w:adjustRightInd w:val="0"/>
              <w:ind w:left="10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净利润</w:t>
            </w:r>
          </w:p>
        </w:tc>
        <w:tc>
          <w:tcPr>
            <w:tcW w:w="5622" w:type="dxa"/>
            <w:noWrap w:val="0"/>
            <w:vAlign w:val="center"/>
          </w:tcPr>
          <w:p>
            <w:pPr>
              <w:widowControl/>
              <w:jc w:val="center"/>
              <w:textAlignment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-489</w:t>
            </w:r>
          </w:p>
        </w:tc>
      </w:tr>
    </w:tbl>
    <w:p>
      <w:pPr>
        <w:autoSpaceDE w:val="0"/>
        <w:autoSpaceDN w:val="0"/>
        <w:adjustRightInd w:val="0"/>
        <w:ind w:firstLine="602" w:firstLineChars="200"/>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position w:val="-3"/>
          <w:sz w:val="30"/>
          <w:szCs w:val="30"/>
          <w:highlight w:val="none"/>
        </w:rPr>
        <w:t>3.2 主要财务指标</w:t>
      </w:r>
    </w:p>
    <w:tbl>
      <w:tblPr>
        <w:tblStyle w:val="3"/>
        <w:tblW w:w="8341" w:type="dxa"/>
        <w:jc w:val="center"/>
        <w:tblLayout w:type="fixed"/>
        <w:tblCellMar>
          <w:top w:w="0" w:type="dxa"/>
          <w:left w:w="0" w:type="dxa"/>
          <w:bottom w:w="0" w:type="dxa"/>
          <w:right w:w="0" w:type="dxa"/>
        </w:tblCellMar>
      </w:tblPr>
      <w:tblGrid>
        <w:gridCol w:w="4365"/>
        <w:gridCol w:w="3976"/>
      </w:tblGrid>
      <w:tr>
        <w:tblPrEx>
          <w:tblCellMar>
            <w:top w:w="0" w:type="dxa"/>
            <w:left w:w="0" w:type="dxa"/>
            <w:bottom w:w="0" w:type="dxa"/>
            <w:right w:w="0" w:type="dxa"/>
          </w:tblCellMar>
        </w:tblPrEx>
        <w:trPr>
          <w:trHeight w:val="346" w:hRule="atLeast"/>
          <w:jc w:val="center"/>
        </w:trPr>
        <w:tc>
          <w:tcPr>
            <w:tcW w:w="4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主要财务指标</w:t>
            </w:r>
          </w:p>
        </w:tc>
        <w:tc>
          <w:tcPr>
            <w:tcW w:w="39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202</w:t>
            </w:r>
            <w:r>
              <w:rPr>
                <w:rFonts w:hint="default" w:ascii="Times New Roman" w:hAnsi="Times New Roman" w:eastAsia="仿宋_GB2312" w:cs="Times New Roman"/>
                <w:b/>
                <w:kern w:val="0"/>
                <w:sz w:val="24"/>
                <w:szCs w:val="24"/>
                <w:highlight w:val="none"/>
                <w:lang w:val="en-US"/>
              </w:rPr>
              <w:t>4</w:t>
            </w:r>
            <w:r>
              <w:rPr>
                <w:rFonts w:hint="default" w:ascii="Times New Roman" w:hAnsi="Times New Roman" w:eastAsia="仿宋_GB2312" w:cs="Times New Roman"/>
                <w:b/>
                <w:kern w:val="0"/>
                <w:sz w:val="24"/>
                <w:szCs w:val="24"/>
                <w:highlight w:val="none"/>
              </w:rPr>
              <w:t>年</w:t>
            </w:r>
          </w:p>
        </w:tc>
      </w:tr>
      <w:tr>
        <w:tblPrEx>
          <w:tblCellMar>
            <w:top w:w="0" w:type="dxa"/>
            <w:left w:w="0" w:type="dxa"/>
            <w:bottom w:w="0" w:type="dxa"/>
            <w:right w:w="0" w:type="dxa"/>
          </w:tblCellMar>
        </w:tblPrEx>
        <w:trPr>
          <w:trHeight w:val="346" w:hRule="atLeast"/>
          <w:jc w:val="center"/>
        </w:trPr>
        <w:tc>
          <w:tcPr>
            <w:tcW w:w="4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120" w:firstLineChars="5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position w:val="-2"/>
                <w:sz w:val="24"/>
                <w:szCs w:val="24"/>
                <w:highlight w:val="none"/>
              </w:rPr>
              <w:t>基本每股收益（元／股）</w:t>
            </w:r>
          </w:p>
        </w:tc>
        <w:tc>
          <w:tcPr>
            <w:tcW w:w="397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auto"/>
              <w:jc w:val="center"/>
              <w:textAlignment w:val="center"/>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bidi="ar"/>
              </w:rPr>
              <w:t>-0.05</w:t>
            </w:r>
          </w:p>
        </w:tc>
      </w:tr>
      <w:tr>
        <w:tblPrEx>
          <w:tblCellMar>
            <w:top w:w="0" w:type="dxa"/>
            <w:left w:w="0" w:type="dxa"/>
            <w:bottom w:w="0" w:type="dxa"/>
            <w:right w:w="0" w:type="dxa"/>
          </w:tblCellMar>
        </w:tblPrEx>
        <w:trPr>
          <w:trHeight w:val="346" w:hRule="atLeast"/>
          <w:jc w:val="center"/>
        </w:trPr>
        <w:tc>
          <w:tcPr>
            <w:tcW w:w="4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left="100"/>
              <w:jc w:val="center"/>
              <w:rPr>
                <w:rFonts w:hint="default" w:ascii="Times New Roman" w:hAnsi="Times New Roman" w:eastAsia="仿宋_GB2312" w:cs="Times New Roman"/>
                <w:kern w:val="0"/>
                <w:position w:val="-2"/>
                <w:sz w:val="24"/>
                <w:szCs w:val="24"/>
                <w:highlight w:val="none"/>
              </w:rPr>
            </w:pPr>
            <w:r>
              <w:rPr>
                <w:rFonts w:hint="default" w:ascii="Times New Roman" w:hAnsi="Times New Roman" w:eastAsia="仿宋_GB2312" w:cs="Times New Roman"/>
                <w:kern w:val="0"/>
                <w:position w:val="-2"/>
                <w:sz w:val="24"/>
                <w:szCs w:val="24"/>
                <w:highlight w:val="none"/>
              </w:rPr>
              <w:t>每股净资产（元／股）</w:t>
            </w:r>
          </w:p>
        </w:tc>
        <w:tc>
          <w:tcPr>
            <w:tcW w:w="397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auto"/>
              <w:jc w:val="center"/>
              <w:textAlignment w:val="center"/>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1.34</w:t>
            </w:r>
          </w:p>
        </w:tc>
      </w:tr>
      <w:tr>
        <w:tblPrEx>
          <w:tblCellMar>
            <w:top w:w="0" w:type="dxa"/>
            <w:left w:w="0" w:type="dxa"/>
            <w:bottom w:w="0" w:type="dxa"/>
            <w:right w:w="0" w:type="dxa"/>
          </w:tblCellMar>
        </w:tblPrEx>
        <w:trPr>
          <w:trHeight w:val="346" w:hRule="atLeast"/>
          <w:jc w:val="center"/>
        </w:trPr>
        <w:tc>
          <w:tcPr>
            <w:tcW w:w="4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default" w:ascii="Times New Roman" w:hAnsi="Times New Roman" w:eastAsia="仿宋_GB2312" w:cs="Times New Roman"/>
                <w:kern w:val="0"/>
                <w:position w:val="-2"/>
                <w:sz w:val="24"/>
                <w:szCs w:val="24"/>
                <w:highlight w:val="none"/>
              </w:rPr>
            </w:pPr>
            <w:r>
              <w:rPr>
                <w:rFonts w:hint="default" w:ascii="Times New Roman" w:hAnsi="Times New Roman" w:eastAsia="仿宋_GB2312" w:cs="Times New Roman"/>
                <w:kern w:val="0"/>
                <w:position w:val="-2"/>
                <w:sz w:val="24"/>
                <w:szCs w:val="24"/>
                <w:highlight w:val="none"/>
                <w:lang w:eastAsia="zh-CN"/>
              </w:rPr>
              <w:t>净</w:t>
            </w:r>
            <w:r>
              <w:rPr>
                <w:rFonts w:hint="default" w:ascii="Times New Roman" w:hAnsi="Times New Roman" w:eastAsia="仿宋_GB2312" w:cs="Times New Roman"/>
                <w:kern w:val="0"/>
                <w:position w:val="-2"/>
                <w:sz w:val="24"/>
                <w:szCs w:val="24"/>
                <w:highlight w:val="none"/>
              </w:rPr>
              <w:t>资产收益率</w:t>
            </w:r>
          </w:p>
        </w:tc>
        <w:tc>
          <w:tcPr>
            <w:tcW w:w="397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color w:val="auto"/>
                <w:sz w:val="24"/>
                <w:szCs w:val="24"/>
                <w:highlight w:val="none"/>
                <w:lang w:val="en-US" w:eastAsia="zh-CN" w:bidi="ar"/>
              </w:rPr>
              <w:t>-3.59%</w:t>
            </w:r>
          </w:p>
        </w:tc>
      </w:tr>
      <w:tr>
        <w:tblPrEx>
          <w:tblCellMar>
            <w:top w:w="0" w:type="dxa"/>
            <w:left w:w="0" w:type="dxa"/>
            <w:bottom w:w="0" w:type="dxa"/>
            <w:right w:w="0" w:type="dxa"/>
          </w:tblCellMar>
        </w:tblPrEx>
        <w:trPr>
          <w:trHeight w:val="346" w:hRule="atLeast"/>
          <w:jc w:val="center"/>
        </w:trPr>
        <w:tc>
          <w:tcPr>
            <w:tcW w:w="4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default" w:ascii="Times New Roman" w:hAnsi="Times New Roman" w:eastAsia="仿宋_GB2312" w:cs="Times New Roman"/>
                <w:kern w:val="0"/>
                <w:position w:val="-2"/>
                <w:sz w:val="24"/>
                <w:szCs w:val="24"/>
                <w:highlight w:val="none"/>
              </w:rPr>
            </w:pPr>
            <w:r>
              <w:rPr>
                <w:rFonts w:hint="default" w:ascii="Times New Roman" w:hAnsi="Times New Roman" w:eastAsia="仿宋_GB2312" w:cs="Times New Roman"/>
                <w:kern w:val="0"/>
                <w:position w:val="-2"/>
                <w:sz w:val="24"/>
                <w:szCs w:val="24"/>
                <w:highlight w:val="none"/>
              </w:rPr>
              <w:t>成本收入比</w:t>
            </w:r>
          </w:p>
        </w:tc>
        <w:tc>
          <w:tcPr>
            <w:tcW w:w="397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auto"/>
              <w:jc w:val="center"/>
              <w:textAlignment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val="en-US" w:eastAsia="zh-CN"/>
              </w:rPr>
              <w:t>109.93%</w:t>
            </w:r>
          </w:p>
        </w:tc>
      </w:tr>
      <w:tr>
        <w:tblPrEx>
          <w:tblCellMar>
            <w:top w:w="0" w:type="dxa"/>
            <w:left w:w="0" w:type="dxa"/>
            <w:bottom w:w="0" w:type="dxa"/>
            <w:right w:w="0" w:type="dxa"/>
          </w:tblCellMar>
        </w:tblPrEx>
        <w:trPr>
          <w:trHeight w:val="346" w:hRule="atLeast"/>
          <w:jc w:val="center"/>
        </w:trPr>
        <w:tc>
          <w:tcPr>
            <w:tcW w:w="4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left="0"/>
              <w:jc w:val="center"/>
              <w:rPr>
                <w:rFonts w:hint="default" w:ascii="Times New Roman" w:hAnsi="Times New Roman" w:eastAsia="仿宋_GB2312" w:cs="Times New Roman"/>
                <w:kern w:val="0"/>
                <w:position w:val="-2"/>
                <w:sz w:val="24"/>
                <w:szCs w:val="24"/>
                <w:highlight w:val="none"/>
              </w:rPr>
            </w:pPr>
            <w:r>
              <w:rPr>
                <w:rFonts w:hint="default" w:ascii="Times New Roman" w:hAnsi="Times New Roman" w:eastAsia="仿宋_GB2312" w:cs="Times New Roman"/>
                <w:kern w:val="0"/>
                <w:position w:val="-2"/>
                <w:sz w:val="24"/>
                <w:szCs w:val="24"/>
                <w:highlight w:val="none"/>
                <w:lang w:val="en-US" w:eastAsia="zh-CN"/>
              </w:rPr>
              <w:t>净息差</w:t>
            </w:r>
          </w:p>
        </w:tc>
        <w:tc>
          <w:tcPr>
            <w:tcW w:w="39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i w:val="0"/>
                <w:color w:val="auto"/>
                <w:kern w:val="2"/>
                <w:sz w:val="24"/>
                <w:szCs w:val="24"/>
                <w:highlight w:val="none"/>
                <w:u w:val="none"/>
                <w:lang w:val="en-US" w:eastAsia="zh-CN" w:bidi="ar"/>
              </w:rPr>
              <w:t xml:space="preserve">2.66% </w:t>
            </w:r>
          </w:p>
        </w:tc>
      </w:tr>
    </w:tbl>
    <w:p>
      <w:pPr>
        <w:autoSpaceDE w:val="0"/>
        <w:autoSpaceDN w:val="0"/>
        <w:adjustRightInd w:val="0"/>
        <w:ind w:firstLine="602" w:firstLineChars="200"/>
        <w:rPr>
          <w:rFonts w:hint="default" w:ascii="Times New Roman" w:hAnsi="Times New Roman" w:eastAsia="仿宋_GB2312" w:cs="Times New Roman"/>
          <w:b/>
          <w:kern w:val="0"/>
          <w:position w:val="-3"/>
          <w:sz w:val="30"/>
          <w:szCs w:val="30"/>
          <w:highlight w:val="none"/>
        </w:rPr>
      </w:pPr>
      <w:r>
        <w:rPr>
          <w:rFonts w:hint="default" w:ascii="Times New Roman" w:hAnsi="Times New Roman" w:eastAsia="仿宋_GB2312" w:cs="Times New Roman"/>
          <w:b/>
          <w:kern w:val="0"/>
          <w:position w:val="-3"/>
          <w:sz w:val="30"/>
          <w:szCs w:val="30"/>
          <w:highlight w:val="none"/>
        </w:rPr>
        <w:t>4</w:t>
      </w:r>
      <w:r>
        <w:rPr>
          <w:rFonts w:hint="default" w:ascii="Times New Roman" w:hAnsi="Times New Roman" w:eastAsia="仿宋_GB2312" w:cs="Times New Roman"/>
          <w:b/>
          <w:kern w:val="0"/>
          <w:position w:val="-3"/>
          <w:sz w:val="30"/>
          <w:szCs w:val="30"/>
          <w:highlight w:val="none"/>
          <w:lang w:eastAsia="zh-CN"/>
        </w:rPr>
        <w:t>、</w:t>
      </w:r>
      <w:r>
        <w:rPr>
          <w:rFonts w:hint="default" w:ascii="Times New Roman" w:hAnsi="Times New Roman" w:eastAsia="仿宋_GB2312" w:cs="Times New Roman"/>
          <w:b/>
          <w:kern w:val="0"/>
          <w:position w:val="-3"/>
          <w:sz w:val="30"/>
          <w:szCs w:val="30"/>
          <w:highlight w:val="none"/>
        </w:rPr>
        <w:t>银行业务信息与数据</w:t>
      </w:r>
    </w:p>
    <w:p>
      <w:pPr>
        <w:autoSpaceDE w:val="0"/>
        <w:autoSpaceDN w:val="0"/>
        <w:adjustRightInd w:val="0"/>
        <w:ind w:firstLine="602" w:firstLineChars="200"/>
        <w:rPr>
          <w:rFonts w:hint="default" w:ascii="Times New Roman" w:hAnsi="Times New Roman" w:eastAsia="仿宋_GB2312" w:cs="Times New Roman"/>
          <w:b/>
          <w:kern w:val="0"/>
          <w:position w:val="-3"/>
          <w:sz w:val="30"/>
          <w:szCs w:val="30"/>
          <w:highlight w:val="none"/>
        </w:rPr>
      </w:pPr>
      <w:r>
        <w:rPr>
          <w:rFonts w:hint="default" w:ascii="Times New Roman" w:hAnsi="Times New Roman" w:eastAsia="仿宋_GB2312" w:cs="Times New Roman"/>
          <w:b/>
          <w:kern w:val="0"/>
          <w:position w:val="-3"/>
          <w:sz w:val="30"/>
          <w:szCs w:val="30"/>
          <w:highlight w:val="none"/>
        </w:rPr>
        <w:t>4.1 公司前二年主要财务会计数据</w:t>
      </w:r>
    </w:p>
    <w:p>
      <w:pPr>
        <w:autoSpaceDE w:val="0"/>
        <w:autoSpaceDN w:val="0"/>
        <w:adjustRightInd w:val="0"/>
        <w:ind w:left="122" w:leftChars="58" w:firstLine="413" w:firstLineChars="196"/>
        <w:rPr>
          <w:rFonts w:hint="default" w:ascii="Times New Roman" w:hAnsi="Times New Roman" w:cs="Times New Roman"/>
          <w:b/>
          <w:kern w:val="0"/>
          <w:sz w:val="18"/>
          <w:szCs w:val="18"/>
          <w:highlight w:val="none"/>
        </w:rPr>
      </w:pPr>
      <w:r>
        <w:rPr>
          <w:rFonts w:hint="default" w:ascii="Times New Roman" w:hAnsi="Times New Roman" w:cs="Times New Roman"/>
          <w:b/>
          <w:kern w:val="0"/>
          <w:szCs w:val="21"/>
          <w:highlight w:val="none"/>
        </w:rPr>
        <w:t xml:space="preserve">                                                       </w:t>
      </w:r>
      <w:r>
        <w:rPr>
          <w:rFonts w:hint="default" w:ascii="Times New Roman" w:hAnsi="Times New Roman" w:cs="Times New Roman"/>
          <w:szCs w:val="21"/>
          <w:highlight w:val="none"/>
        </w:rPr>
        <w:t>单位：人民币万元</w:t>
      </w:r>
      <w:r>
        <w:rPr>
          <w:rFonts w:hint="default" w:ascii="Times New Roman" w:hAnsi="Times New Roman" w:cs="Times New Roman"/>
          <w:kern w:val="0"/>
          <w:position w:val="-2"/>
          <w:szCs w:val="21"/>
          <w:highlight w:val="none"/>
        </w:rPr>
        <w:t xml:space="preserve"> </w:t>
      </w:r>
      <w:r>
        <w:rPr>
          <w:rFonts w:hint="default" w:ascii="Times New Roman" w:hAnsi="Times New Roman" w:cs="Times New Roman"/>
          <w:kern w:val="0"/>
          <w:position w:val="-2"/>
          <w:sz w:val="18"/>
          <w:szCs w:val="18"/>
          <w:highlight w:val="none"/>
        </w:rPr>
        <w:t xml:space="preserve">                                                                                                                             </w:t>
      </w:r>
    </w:p>
    <w:tbl>
      <w:tblPr>
        <w:tblStyle w:val="3"/>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2783"/>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639" w:type="dxa"/>
            <w:noWrap w:val="0"/>
            <w:vAlign w:val="center"/>
          </w:tcPr>
          <w:p>
            <w:pPr>
              <w:autoSpaceDE w:val="0"/>
              <w:autoSpaceDN w:val="0"/>
              <w:adjustRightInd w:val="0"/>
              <w:ind w:left="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项   目</w:t>
            </w:r>
          </w:p>
        </w:tc>
        <w:tc>
          <w:tcPr>
            <w:tcW w:w="2783"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2023年</w:t>
            </w:r>
          </w:p>
        </w:tc>
        <w:tc>
          <w:tcPr>
            <w:tcW w:w="2911"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639" w:type="dxa"/>
            <w:noWrap w:val="0"/>
            <w:vAlign w:val="center"/>
          </w:tcPr>
          <w:p>
            <w:pPr>
              <w:autoSpaceDE w:val="0"/>
              <w:autoSpaceDN w:val="0"/>
              <w:adjustRightInd w:val="0"/>
              <w:ind w:left="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资产总额</w:t>
            </w:r>
          </w:p>
        </w:tc>
        <w:tc>
          <w:tcPr>
            <w:tcW w:w="2783"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76353</w:t>
            </w:r>
          </w:p>
        </w:tc>
        <w:tc>
          <w:tcPr>
            <w:tcW w:w="2911"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96436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639" w:type="dxa"/>
            <w:noWrap w:val="0"/>
            <w:vAlign w:val="center"/>
          </w:tcPr>
          <w:p>
            <w:pPr>
              <w:autoSpaceDE w:val="0"/>
              <w:autoSpaceDN w:val="0"/>
              <w:adjustRightInd w:val="0"/>
              <w:ind w:left="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负债总额</w:t>
            </w:r>
          </w:p>
        </w:tc>
        <w:tc>
          <w:tcPr>
            <w:tcW w:w="2783"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62483</w:t>
            </w:r>
          </w:p>
        </w:tc>
        <w:tc>
          <w:tcPr>
            <w:tcW w:w="2911"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83055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639" w:type="dxa"/>
            <w:noWrap w:val="0"/>
            <w:vAlign w:val="center"/>
          </w:tcPr>
          <w:p>
            <w:pPr>
              <w:autoSpaceDE w:val="0"/>
              <w:autoSpaceDN w:val="0"/>
              <w:adjustRightInd w:val="0"/>
              <w:ind w:left="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股东权益合计</w:t>
            </w:r>
          </w:p>
        </w:tc>
        <w:tc>
          <w:tcPr>
            <w:tcW w:w="2783"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13870</w:t>
            </w:r>
          </w:p>
        </w:tc>
        <w:tc>
          <w:tcPr>
            <w:tcW w:w="2911"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13381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639" w:type="dxa"/>
            <w:noWrap w:val="0"/>
            <w:vAlign w:val="center"/>
          </w:tcPr>
          <w:p>
            <w:pPr>
              <w:autoSpaceDE w:val="0"/>
              <w:autoSpaceDN w:val="0"/>
              <w:adjustRightInd w:val="0"/>
              <w:ind w:left="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存款总额</w:t>
            </w:r>
          </w:p>
        </w:tc>
        <w:tc>
          <w:tcPr>
            <w:tcW w:w="2783"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60564</w:t>
            </w:r>
          </w:p>
        </w:tc>
        <w:tc>
          <w:tcPr>
            <w:tcW w:w="2911"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80460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9" w:type="dxa"/>
            <w:noWrap w:val="0"/>
            <w:vAlign w:val="center"/>
          </w:tcPr>
          <w:p>
            <w:pPr>
              <w:autoSpaceDE w:val="0"/>
              <w:autoSpaceDN w:val="0"/>
              <w:adjustRightInd w:val="0"/>
              <w:ind w:left="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贷款总额</w:t>
            </w:r>
          </w:p>
        </w:tc>
        <w:tc>
          <w:tcPr>
            <w:tcW w:w="2783"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51797</w:t>
            </w:r>
          </w:p>
        </w:tc>
        <w:tc>
          <w:tcPr>
            <w:tcW w:w="2911" w:type="dxa"/>
            <w:noWrap w:val="0"/>
            <w:vAlign w:val="center"/>
          </w:tcPr>
          <w:p>
            <w:pPr>
              <w:autoSpaceDE w:val="0"/>
              <w:autoSpaceDN w:val="0"/>
              <w:adjustRightInd w:val="0"/>
              <w:ind w:left="0" w:leftChars="0"/>
              <w:jc w:val="center"/>
              <w:rPr>
                <w:rFonts w:hint="default" w:ascii="Times New Roman" w:hAnsi="Times New Roman" w:eastAsia="仿宋_GB2312" w:cs="Times New Roman"/>
                <w:kern w:val="0"/>
                <w:position w:val="-2"/>
                <w:sz w:val="24"/>
                <w:szCs w:val="24"/>
                <w:highlight w:val="none"/>
                <w:lang w:val="en-US" w:eastAsia="zh-CN"/>
              </w:rPr>
            </w:pPr>
            <w:r>
              <w:rPr>
                <w:rFonts w:hint="default" w:ascii="Times New Roman" w:hAnsi="Times New Roman" w:eastAsia="仿宋_GB2312" w:cs="Times New Roman"/>
                <w:kern w:val="0"/>
                <w:position w:val="-2"/>
                <w:sz w:val="24"/>
                <w:szCs w:val="24"/>
                <w:highlight w:val="none"/>
                <w:lang w:val="en-US" w:eastAsia="zh-CN"/>
              </w:rPr>
              <w:t>60444</w:t>
            </w:r>
          </w:p>
        </w:tc>
      </w:tr>
    </w:tbl>
    <w:p>
      <w:pPr>
        <w:autoSpaceDE w:val="0"/>
        <w:autoSpaceDN w:val="0"/>
        <w:adjustRightInd w:val="0"/>
        <w:ind w:firstLine="413" w:firstLineChars="196"/>
        <w:rPr>
          <w:rFonts w:hint="default" w:ascii="Times New Roman" w:hAnsi="Times New Roman" w:cs="Times New Roman"/>
          <w:b/>
          <w:kern w:val="0"/>
          <w:szCs w:val="21"/>
          <w:highlight w:val="none"/>
        </w:rPr>
      </w:pPr>
    </w:p>
    <w:p>
      <w:pPr>
        <w:autoSpaceDE w:val="0"/>
        <w:autoSpaceDN w:val="0"/>
        <w:adjustRightInd w:val="0"/>
        <w:ind w:firstLine="590" w:firstLineChars="196"/>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4.2 公司前二年资本充足率数据</w:t>
      </w:r>
    </w:p>
    <w:p>
      <w:pPr>
        <w:autoSpaceDE w:val="0"/>
        <w:autoSpaceDN w:val="0"/>
        <w:adjustRightInd w:val="0"/>
        <w:ind w:firstLine="422" w:firstLineChars="200"/>
        <w:rPr>
          <w:rFonts w:hint="default" w:ascii="Times New Roman" w:hAnsi="Times New Roman" w:cs="Times New Roman"/>
          <w:b/>
          <w:kern w:val="0"/>
          <w:position w:val="-3"/>
          <w:sz w:val="18"/>
          <w:szCs w:val="18"/>
          <w:highlight w:val="none"/>
        </w:rPr>
      </w:pPr>
      <w:r>
        <w:rPr>
          <w:rFonts w:hint="default" w:ascii="Times New Roman" w:hAnsi="Times New Roman" w:cs="Times New Roman"/>
          <w:b/>
          <w:kern w:val="0"/>
          <w:szCs w:val="21"/>
          <w:highlight w:val="none"/>
        </w:rPr>
        <w:t xml:space="preserve">                                                       </w:t>
      </w:r>
      <w:r>
        <w:rPr>
          <w:rFonts w:hint="default" w:ascii="Times New Roman" w:hAnsi="Times New Roman" w:cs="Times New Roman"/>
          <w:szCs w:val="21"/>
          <w:highlight w:val="none"/>
        </w:rPr>
        <w:t>单位：人民币万元</w:t>
      </w:r>
    </w:p>
    <w:tbl>
      <w:tblPr>
        <w:tblStyle w:val="3"/>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3"/>
        <w:gridCol w:w="2393"/>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473" w:type="dxa"/>
            <w:noWrap w:val="0"/>
            <w:vAlign w:val="center"/>
          </w:tcPr>
          <w:p>
            <w:pPr>
              <w:autoSpaceDE w:val="0"/>
              <w:autoSpaceDN w:val="0"/>
              <w:adjustRightInd w:val="0"/>
              <w:jc w:val="center"/>
              <w:rPr>
                <w:rFonts w:hint="default" w:ascii="Times New Roman" w:hAnsi="Times New Roman" w:eastAsia="仿宋_GB2312" w:cs="Times New Roman"/>
                <w:b/>
                <w:spacing w:val="1"/>
                <w:kern w:val="0"/>
                <w:position w:val="-2"/>
                <w:sz w:val="24"/>
                <w:szCs w:val="24"/>
                <w:highlight w:val="none"/>
              </w:rPr>
            </w:pPr>
            <w:r>
              <w:rPr>
                <w:rFonts w:hint="default" w:ascii="Times New Roman" w:hAnsi="Times New Roman" w:eastAsia="仿宋_GB2312" w:cs="Times New Roman"/>
                <w:b/>
                <w:spacing w:val="1"/>
                <w:kern w:val="0"/>
                <w:position w:val="-2"/>
                <w:sz w:val="24"/>
                <w:szCs w:val="24"/>
                <w:highlight w:val="none"/>
              </w:rPr>
              <w:t>项   目</w:t>
            </w:r>
          </w:p>
        </w:tc>
        <w:tc>
          <w:tcPr>
            <w:tcW w:w="2393" w:type="dxa"/>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202</w:t>
            </w:r>
            <w:r>
              <w:rPr>
                <w:rFonts w:hint="default" w:ascii="Times New Roman" w:hAnsi="Times New Roman" w:eastAsia="仿宋_GB2312" w:cs="Times New Roman"/>
                <w:b/>
                <w:sz w:val="24"/>
                <w:szCs w:val="24"/>
                <w:highlight w:val="none"/>
                <w:lang w:val="en-US" w:eastAsia="zh-CN"/>
              </w:rPr>
              <w:t>3</w:t>
            </w:r>
            <w:r>
              <w:rPr>
                <w:rFonts w:hint="default" w:ascii="Times New Roman" w:hAnsi="Times New Roman" w:eastAsia="仿宋_GB2312" w:cs="Times New Roman"/>
                <w:b/>
                <w:sz w:val="24"/>
                <w:szCs w:val="24"/>
                <w:highlight w:val="none"/>
              </w:rPr>
              <w:t>年</w:t>
            </w:r>
          </w:p>
        </w:tc>
        <w:tc>
          <w:tcPr>
            <w:tcW w:w="2442" w:type="dxa"/>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202</w:t>
            </w:r>
            <w:r>
              <w:rPr>
                <w:rFonts w:hint="default" w:ascii="Times New Roman" w:hAnsi="Times New Roman" w:eastAsia="仿宋_GB2312" w:cs="Times New Roman"/>
                <w:b/>
                <w:sz w:val="24"/>
                <w:szCs w:val="24"/>
                <w:highlight w:val="none"/>
                <w:lang w:val="en-US" w:eastAsia="zh-CN"/>
              </w:rPr>
              <w:t>4</w:t>
            </w:r>
            <w:r>
              <w:rPr>
                <w:rFonts w:hint="default" w:ascii="Times New Roman" w:hAnsi="Times New Roman" w:eastAsia="仿宋_GB2312" w:cs="Times New Roman"/>
                <w:b/>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473" w:type="dxa"/>
            <w:noWrap w:val="0"/>
            <w:vAlign w:val="center"/>
          </w:tcPr>
          <w:p>
            <w:pPr>
              <w:autoSpaceDE w:val="0"/>
              <w:autoSpaceDN w:val="0"/>
              <w:adjustRightInd w:val="0"/>
              <w:ind w:left="10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pacing w:val="1"/>
                <w:kern w:val="0"/>
                <w:position w:val="-2"/>
                <w:sz w:val="24"/>
                <w:szCs w:val="24"/>
                <w:highlight w:val="none"/>
              </w:rPr>
              <w:t>资本净额</w:t>
            </w:r>
          </w:p>
        </w:tc>
        <w:tc>
          <w:tcPr>
            <w:tcW w:w="2393" w:type="dxa"/>
            <w:noWrap w:val="0"/>
            <w:vAlign w:val="center"/>
          </w:tcPr>
          <w:p>
            <w:pPr>
              <w:spacing w:line="320" w:lineRule="exact"/>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14,128.50</w:t>
            </w:r>
          </w:p>
        </w:tc>
        <w:tc>
          <w:tcPr>
            <w:tcW w:w="2442" w:type="dxa"/>
            <w:noWrap w:val="0"/>
            <w:vAlign w:val="center"/>
          </w:tcPr>
          <w:p>
            <w:pPr>
              <w:spacing w:line="320" w:lineRule="exact"/>
              <w:jc w:val="center"/>
              <w:rPr>
                <w:rFonts w:hint="default" w:ascii="Times New Roman" w:hAnsi="Times New Roman" w:eastAsia="仿宋_GB2312" w:cs="Times New Roman"/>
                <w:bCs w:val="0"/>
                <w:color w:val="000000"/>
                <w:kern w:val="0"/>
                <w:sz w:val="24"/>
                <w:szCs w:val="24"/>
                <w:highlight w:val="none"/>
                <w:lang w:bidi="ar"/>
              </w:rPr>
            </w:pPr>
            <w:r>
              <w:rPr>
                <w:rFonts w:hint="default" w:ascii="Times New Roman" w:hAnsi="Times New Roman" w:eastAsia="仿宋_GB2312" w:cs="Times New Roman"/>
                <w:bCs w:val="0"/>
                <w:color w:val="000000"/>
                <w:kern w:val="0"/>
                <w:sz w:val="24"/>
                <w:szCs w:val="24"/>
                <w:highlight w:val="none"/>
                <w:lang w:val="en-US" w:eastAsia="zh-CN" w:bidi="ar"/>
              </w:rPr>
              <w:t xml:space="preserve"> 14,259.13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473" w:type="dxa"/>
            <w:noWrap w:val="0"/>
            <w:vAlign w:val="center"/>
          </w:tcPr>
          <w:p>
            <w:pPr>
              <w:autoSpaceDE w:val="0"/>
              <w:autoSpaceDN w:val="0"/>
              <w:adjustRightInd w:val="0"/>
              <w:ind w:left="100"/>
              <w:jc w:val="center"/>
              <w:rPr>
                <w:rFonts w:hint="default" w:ascii="Times New Roman" w:hAnsi="Times New Roman" w:eastAsia="仿宋_GB2312" w:cs="Times New Roman"/>
                <w:spacing w:val="1"/>
                <w:kern w:val="0"/>
                <w:position w:val="-2"/>
                <w:sz w:val="24"/>
                <w:szCs w:val="24"/>
                <w:highlight w:val="none"/>
              </w:rPr>
            </w:pPr>
            <w:r>
              <w:rPr>
                <w:rFonts w:hint="default" w:ascii="Times New Roman" w:hAnsi="Times New Roman" w:eastAsia="仿宋_GB2312" w:cs="Times New Roman"/>
                <w:spacing w:val="1"/>
                <w:kern w:val="0"/>
                <w:position w:val="-2"/>
                <w:sz w:val="24"/>
                <w:szCs w:val="24"/>
                <w:highlight w:val="none"/>
              </w:rPr>
              <w:t>一级资本净额</w:t>
            </w:r>
          </w:p>
        </w:tc>
        <w:tc>
          <w:tcPr>
            <w:tcW w:w="2393" w:type="dxa"/>
            <w:noWrap w:val="0"/>
            <w:vAlign w:val="top"/>
          </w:tcPr>
          <w:p>
            <w:pPr>
              <w:widowControl/>
              <w:tabs>
                <w:tab w:val="center" w:pos="591"/>
                <w:tab w:val="right" w:pos="1183"/>
              </w:tabs>
              <w:adjustRightInd/>
              <w:snapToGrid/>
              <w:spacing w:line="320" w:lineRule="exact"/>
              <w:jc w:val="center"/>
              <w:rPr>
                <w:rFonts w:hint="default" w:ascii="Times New Roman" w:hAnsi="Times New Roman" w:eastAsia="仿宋_GB2312" w:cs="Times New Roman"/>
                <w:bCs/>
                <w:sz w:val="24"/>
                <w:szCs w:val="24"/>
                <w:highlight w:val="none"/>
                <w:lang w:val="en-US"/>
              </w:rPr>
            </w:pPr>
            <w:r>
              <w:rPr>
                <w:rFonts w:hint="default" w:ascii="Times New Roman" w:hAnsi="Times New Roman" w:eastAsia="仿宋_GB2312" w:cs="Times New Roman"/>
                <w:color w:val="000000"/>
                <w:kern w:val="0"/>
                <w:sz w:val="24"/>
                <w:szCs w:val="24"/>
                <w:highlight w:val="none"/>
                <w:lang w:bidi="ar"/>
              </w:rPr>
              <w:t xml:space="preserve"> 13,870.00 </w:t>
            </w:r>
          </w:p>
        </w:tc>
        <w:tc>
          <w:tcPr>
            <w:tcW w:w="2442" w:type="dxa"/>
            <w:noWrap w:val="0"/>
            <w:vAlign w:val="top"/>
          </w:tcPr>
          <w:p>
            <w:pPr>
              <w:widowControl/>
              <w:tabs>
                <w:tab w:val="center" w:pos="591"/>
                <w:tab w:val="right" w:pos="1183"/>
              </w:tabs>
              <w:adjustRightInd/>
              <w:snapToGrid/>
              <w:spacing w:line="320" w:lineRule="exact"/>
              <w:jc w:val="center"/>
              <w:rPr>
                <w:rFonts w:hint="default" w:ascii="Times New Roman" w:hAnsi="Times New Roman" w:eastAsia="仿宋_GB2312" w:cs="Times New Roman"/>
                <w:bCs w:val="0"/>
                <w:color w:val="000000"/>
                <w:kern w:val="0"/>
                <w:sz w:val="24"/>
                <w:szCs w:val="24"/>
                <w:highlight w:val="none"/>
                <w:lang w:bidi="ar"/>
              </w:rPr>
            </w:pPr>
            <w:r>
              <w:rPr>
                <w:rFonts w:hint="default" w:ascii="Times New Roman" w:hAnsi="Times New Roman" w:eastAsia="仿宋_GB2312" w:cs="Times New Roman"/>
                <w:bCs w:val="0"/>
                <w:color w:val="000000"/>
                <w:kern w:val="0"/>
                <w:sz w:val="24"/>
                <w:szCs w:val="24"/>
                <w:highlight w:val="none"/>
                <w:lang w:val="en-US" w:eastAsia="zh-CN" w:bidi="ar"/>
              </w:rPr>
              <w:t xml:space="preserve"> 13,380.89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473" w:type="dxa"/>
            <w:noWrap w:val="0"/>
            <w:vAlign w:val="center"/>
          </w:tcPr>
          <w:p>
            <w:pPr>
              <w:autoSpaceDE w:val="0"/>
              <w:autoSpaceDN w:val="0"/>
              <w:adjustRightInd w:val="0"/>
              <w:ind w:left="10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pacing w:val="1"/>
                <w:kern w:val="0"/>
                <w:position w:val="-2"/>
                <w:sz w:val="24"/>
                <w:szCs w:val="24"/>
                <w:highlight w:val="none"/>
              </w:rPr>
              <w:t>核心一级资本净额</w:t>
            </w:r>
          </w:p>
        </w:tc>
        <w:tc>
          <w:tcPr>
            <w:tcW w:w="2393" w:type="dxa"/>
            <w:noWrap w:val="0"/>
            <w:vAlign w:val="top"/>
          </w:tcPr>
          <w:p>
            <w:pPr>
              <w:widowControl/>
              <w:tabs>
                <w:tab w:val="center" w:pos="591"/>
                <w:tab w:val="right" w:pos="1183"/>
              </w:tabs>
              <w:adjustRightInd/>
              <w:snapToGrid/>
              <w:spacing w:line="320" w:lineRule="exact"/>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13,870.00 </w:t>
            </w:r>
          </w:p>
        </w:tc>
        <w:tc>
          <w:tcPr>
            <w:tcW w:w="2442" w:type="dxa"/>
            <w:noWrap w:val="0"/>
            <w:vAlign w:val="top"/>
          </w:tcPr>
          <w:p>
            <w:pPr>
              <w:widowControl/>
              <w:tabs>
                <w:tab w:val="center" w:pos="591"/>
                <w:tab w:val="right" w:pos="1183"/>
              </w:tabs>
              <w:adjustRightInd/>
              <w:snapToGrid/>
              <w:spacing w:line="320" w:lineRule="exact"/>
              <w:jc w:val="center"/>
              <w:rPr>
                <w:rFonts w:hint="default" w:ascii="Times New Roman" w:hAnsi="Times New Roman" w:eastAsia="仿宋_GB2312" w:cs="Times New Roman"/>
                <w:bCs w:val="0"/>
                <w:color w:val="000000"/>
                <w:kern w:val="0"/>
                <w:sz w:val="24"/>
                <w:szCs w:val="24"/>
                <w:highlight w:val="none"/>
                <w:lang w:bidi="ar"/>
              </w:rPr>
            </w:pPr>
            <w:r>
              <w:rPr>
                <w:rFonts w:hint="default" w:ascii="Times New Roman" w:hAnsi="Times New Roman" w:eastAsia="仿宋_GB2312" w:cs="Times New Roman"/>
                <w:bCs w:val="0"/>
                <w:color w:val="000000"/>
                <w:kern w:val="0"/>
                <w:sz w:val="24"/>
                <w:szCs w:val="24"/>
                <w:highlight w:val="none"/>
                <w:lang w:val="en-US" w:eastAsia="zh-CN" w:bidi="ar"/>
              </w:rPr>
              <w:t xml:space="preserve"> 13,380.89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473" w:type="dxa"/>
            <w:noWrap w:val="0"/>
            <w:vAlign w:val="center"/>
          </w:tcPr>
          <w:p>
            <w:pPr>
              <w:autoSpaceDE w:val="0"/>
              <w:autoSpaceDN w:val="0"/>
              <w:adjustRightInd w:val="0"/>
              <w:jc w:val="center"/>
              <w:rPr>
                <w:rFonts w:hint="default" w:ascii="Times New Roman" w:hAnsi="Times New Roman" w:eastAsia="仿宋_GB2312" w:cs="Times New Roman"/>
                <w:kern w:val="0"/>
                <w:position w:val="-2"/>
                <w:sz w:val="24"/>
                <w:szCs w:val="24"/>
                <w:highlight w:val="none"/>
              </w:rPr>
            </w:pPr>
            <w:r>
              <w:rPr>
                <w:rFonts w:hint="default" w:ascii="Times New Roman" w:hAnsi="Times New Roman" w:eastAsia="仿宋_GB2312" w:cs="Times New Roman"/>
                <w:kern w:val="0"/>
                <w:position w:val="-2"/>
                <w:sz w:val="24"/>
                <w:szCs w:val="24"/>
                <w:highlight w:val="none"/>
              </w:rPr>
              <w:t>风险加权资产总额</w:t>
            </w:r>
          </w:p>
        </w:tc>
        <w:tc>
          <w:tcPr>
            <w:tcW w:w="2393" w:type="dxa"/>
            <w:noWrap w:val="0"/>
            <w:vAlign w:val="center"/>
          </w:tcPr>
          <w:p>
            <w:pPr>
              <w:spacing w:line="320" w:lineRule="exact"/>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50,553.88 </w:t>
            </w:r>
          </w:p>
        </w:tc>
        <w:tc>
          <w:tcPr>
            <w:tcW w:w="2442" w:type="dxa"/>
            <w:noWrap w:val="0"/>
            <w:vAlign w:val="center"/>
          </w:tcPr>
          <w:p>
            <w:pPr>
              <w:spacing w:line="320" w:lineRule="exact"/>
              <w:jc w:val="center"/>
              <w:rPr>
                <w:rFonts w:hint="default" w:ascii="Times New Roman" w:hAnsi="Times New Roman" w:eastAsia="仿宋_GB2312" w:cs="Times New Roman"/>
                <w:bCs w:val="0"/>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val="en-US" w:eastAsia="zh-CN" w:bidi="ar"/>
              </w:rPr>
              <w:t xml:space="preserve"> 56,767.20</w:t>
            </w:r>
            <w:r>
              <w:rPr>
                <w:rFonts w:hint="default" w:ascii="Times New Roman" w:hAnsi="Times New Roman" w:eastAsia="仿宋_GB2312" w:cs="Times New Roman"/>
                <w:color w:val="000000"/>
                <w:kern w:val="0"/>
                <w:sz w:val="24"/>
                <w:szCs w:val="24"/>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473"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资本充足率</w:t>
            </w:r>
          </w:p>
        </w:tc>
        <w:tc>
          <w:tcPr>
            <w:tcW w:w="2393" w:type="dxa"/>
            <w:noWrap w:val="0"/>
            <w:vAlign w:val="center"/>
          </w:tcPr>
          <w:p>
            <w:pPr>
              <w:spacing w:line="320" w:lineRule="exact"/>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color w:val="000000"/>
                <w:kern w:val="0"/>
                <w:sz w:val="24"/>
                <w:szCs w:val="24"/>
                <w:highlight w:val="none"/>
                <w:lang w:bidi="ar"/>
              </w:rPr>
              <w:t>27.9474%</w:t>
            </w:r>
          </w:p>
        </w:tc>
        <w:tc>
          <w:tcPr>
            <w:tcW w:w="2442" w:type="dxa"/>
            <w:noWrap w:val="0"/>
            <w:vAlign w:val="center"/>
          </w:tcPr>
          <w:p>
            <w:pPr>
              <w:spacing w:line="320" w:lineRule="exact"/>
              <w:jc w:val="center"/>
              <w:rPr>
                <w:rFonts w:hint="default" w:ascii="Times New Roman" w:hAnsi="Times New Roman" w:eastAsia="仿宋_GB2312" w:cs="Times New Roman"/>
                <w:bCs w:val="0"/>
                <w:color w:val="000000"/>
                <w:kern w:val="0"/>
                <w:sz w:val="24"/>
                <w:szCs w:val="24"/>
                <w:highlight w:val="none"/>
                <w:lang w:bidi="ar"/>
              </w:rPr>
            </w:pPr>
            <w:r>
              <w:rPr>
                <w:rFonts w:hint="default" w:ascii="Times New Roman" w:hAnsi="Times New Roman" w:eastAsia="仿宋_GB2312" w:cs="Times New Roman"/>
                <w:bCs w:val="0"/>
                <w:color w:val="000000"/>
                <w:kern w:val="0"/>
                <w:sz w:val="24"/>
                <w:szCs w:val="24"/>
                <w:highlight w:val="none"/>
                <w:lang w:val="en-US" w:eastAsia="zh-CN" w:bidi="ar"/>
              </w:rPr>
              <w:t>25.1186%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473"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一级资本充足率</w:t>
            </w:r>
          </w:p>
        </w:tc>
        <w:tc>
          <w:tcPr>
            <w:tcW w:w="2393" w:type="dxa"/>
            <w:noWrap w:val="0"/>
            <w:vAlign w:val="center"/>
          </w:tcPr>
          <w:p>
            <w:pPr>
              <w:spacing w:line="320" w:lineRule="exact"/>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color w:val="000000"/>
                <w:kern w:val="0"/>
                <w:sz w:val="24"/>
                <w:szCs w:val="24"/>
                <w:highlight w:val="none"/>
                <w:lang w:bidi="ar"/>
              </w:rPr>
              <w:t>27.4361%</w:t>
            </w:r>
          </w:p>
        </w:tc>
        <w:tc>
          <w:tcPr>
            <w:tcW w:w="2442" w:type="dxa"/>
            <w:noWrap w:val="0"/>
            <w:vAlign w:val="center"/>
          </w:tcPr>
          <w:p>
            <w:pPr>
              <w:spacing w:line="320" w:lineRule="exact"/>
              <w:jc w:val="center"/>
              <w:rPr>
                <w:rFonts w:hint="default" w:ascii="Times New Roman" w:hAnsi="Times New Roman" w:eastAsia="仿宋_GB2312" w:cs="Times New Roman"/>
                <w:bCs w:val="0"/>
                <w:color w:val="000000"/>
                <w:kern w:val="0"/>
                <w:sz w:val="24"/>
                <w:szCs w:val="24"/>
                <w:highlight w:val="none"/>
                <w:lang w:bidi="ar"/>
              </w:rPr>
            </w:pPr>
            <w:r>
              <w:rPr>
                <w:rFonts w:hint="default" w:ascii="Times New Roman" w:hAnsi="Times New Roman" w:eastAsia="仿宋_GB2312" w:cs="Times New Roman"/>
                <w:bCs w:val="0"/>
                <w:color w:val="000000"/>
                <w:kern w:val="0"/>
                <w:sz w:val="24"/>
                <w:szCs w:val="24"/>
                <w:highlight w:val="none"/>
                <w:lang w:val="en-US" w:eastAsia="zh-CN" w:bidi="ar"/>
              </w:rPr>
              <w:t>23.5715%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473"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核心一级资本充足率</w:t>
            </w:r>
          </w:p>
        </w:tc>
        <w:tc>
          <w:tcPr>
            <w:tcW w:w="2393" w:type="dxa"/>
            <w:noWrap w:val="0"/>
            <w:vAlign w:val="center"/>
          </w:tcPr>
          <w:p>
            <w:pPr>
              <w:spacing w:line="320" w:lineRule="exact"/>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color w:val="000000"/>
                <w:kern w:val="0"/>
                <w:sz w:val="24"/>
                <w:szCs w:val="24"/>
                <w:highlight w:val="none"/>
                <w:lang w:bidi="ar"/>
              </w:rPr>
              <w:t>27.4361%</w:t>
            </w:r>
          </w:p>
        </w:tc>
        <w:tc>
          <w:tcPr>
            <w:tcW w:w="2442" w:type="dxa"/>
            <w:noWrap w:val="0"/>
            <w:vAlign w:val="center"/>
          </w:tcPr>
          <w:p>
            <w:pPr>
              <w:spacing w:line="320" w:lineRule="exact"/>
              <w:jc w:val="center"/>
              <w:rPr>
                <w:rFonts w:hint="default" w:ascii="Times New Roman" w:hAnsi="Times New Roman" w:eastAsia="仿宋_GB2312" w:cs="Times New Roman"/>
                <w:bCs w:val="0"/>
                <w:color w:val="000000"/>
                <w:kern w:val="0"/>
                <w:sz w:val="24"/>
                <w:szCs w:val="24"/>
                <w:highlight w:val="none"/>
                <w:lang w:bidi="ar"/>
              </w:rPr>
            </w:pPr>
            <w:r>
              <w:rPr>
                <w:rFonts w:hint="default" w:ascii="Times New Roman" w:hAnsi="Times New Roman" w:eastAsia="仿宋_GB2312" w:cs="Times New Roman"/>
                <w:bCs w:val="0"/>
                <w:color w:val="000000"/>
                <w:kern w:val="0"/>
                <w:sz w:val="24"/>
                <w:szCs w:val="24"/>
                <w:highlight w:val="none"/>
                <w:lang w:val="en-US" w:eastAsia="zh-CN" w:bidi="ar"/>
              </w:rPr>
              <w:t>23.5715%</w:t>
            </w:r>
          </w:p>
        </w:tc>
      </w:tr>
    </w:tbl>
    <w:p>
      <w:pPr>
        <w:autoSpaceDE w:val="0"/>
        <w:autoSpaceDN w:val="0"/>
        <w:adjustRightInd w:val="0"/>
        <w:ind w:firstLine="482" w:firstLineChars="20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b/>
          <w:kern w:val="0"/>
          <w:position w:val="-3"/>
          <w:sz w:val="24"/>
          <w:szCs w:val="24"/>
          <w:highlight w:val="none"/>
        </w:rPr>
        <w:t>注：</w:t>
      </w:r>
      <w:r>
        <w:rPr>
          <w:rFonts w:hint="default" w:ascii="Times New Roman" w:hAnsi="Times New Roman" w:eastAsia="仿宋_GB2312" w:cs="Times New Roman"/>
          <w:kern w:val="0"/>
          <w:sz w:val="24"/>
          <w:szCs w:val="24"/>
          <w:highlight w:val="none"/>
        </w:rPr>
        <w:t>根据中国银行业监督管理委员会2012年6月颁布的《商业银行资本管理办法（试行）》计量资本充足率相关数据指标。</w:t>
      </w:r>
    </w:p>
    <w:p>
      <w:pPr>
        <w:autoSpaceDE w:val="0"/>
        <w:autoSpaceDN w:val="0"/>
        <w:adjustRightInd w:val="0"/>
        <w:ind w:firstLine="420" w:firstLineChars="200"/>
        <w:rPr>
          <w:rFonts w:hint="default" w:ascii="Times New Roman" w:hAnsi="Times New Roman" w:cs="Times New Roman"/>
          <w:kern w:val="0"/>
          <w:szCs w:val="21"/>
          <w:highlight w:val="none"/>
        </w:rPr>
      </w:pPr>
    </w:p>
    <w:p>
      <w:pPr>
        <w:autoSpaceDE w:val="0"/>
        <w:autoSpaceDN w:val="0"/>
        <w:adjustRightInd w:val="0"/>
        <w:ind w:firstLine="590" w:firstLineChars="196"/>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4.3 公司前二年主要合规指标</w:t>
      </w:r>
    </w:p>
    <w:tbl>
      <w:tblPr>
        <w:tblStyle w:val="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4"/>
        <w:gridCol w:w="1568"/>
        <w:gridCol w:w="173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254"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项  目</w:t>
            </w:r>
          </w:p>
        </w:tc>
        <w:tc>
          <w:tcPr>
            <w:tcW w:w="1568"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监管指标</w:t>
            </w:r>
          </w:p>
        </w:tc>
        <w:tc>
          <w:tcPr>
            <w:tcW w:w="17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202</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年</w:t>
            </w:r>
          </w:p>
        </w:tc>
        <w:tc>
          <w:tcPr>
            <w:tcW w:w="1737"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202</w:t>
            </w:r>
            <w:r>
              <w:rPr>
                <w:rFonts w:hint="default" w:ascii="Times New Roman" w:hAnsi="Times New Roman" w:eastAsia="仿宋_GB2312" w:cs="Times New Roman"/>
                <w:sz w:val="24"/>
                <w:szCs w:val="24"/>
                <w:highlight w:val="none"/>
                <w:lang w:val="en-US" w:eastAsia="zh-CN"/>
              </w:rPr>
              <w:t>4</w:t>
            </w:r>
            <w:r>
              <w:rPr>
                <w:rFonts w:hint="default" w:ascii="Times New Roman" w:hAnsi="Times New Roman" w:eastAsia="仿宋_GB2312" w:cs="Times New Roman"/>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254"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流动性比率</w:t>
            </w:r>
          </w:p>
        </w:tc>
        <w:tc>
          <w:tcPr>
            <w:tcW w:w="1568"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≥25％</w:t>
            </w:r>
          </w:p>
        </w:tc>
        <w:tc>
          <w:tcPr>
            <w:tcW w:w="17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 xml:space="preserve">55.23% </w:t>
            </w:r>
          </w:p>
        </w:tc>
        <w:tc>
          <w:tcPr>
            <w:tcW w:w="1737"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 xml:space="preserve">97.52%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254"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存贷比</w:t>
            </w:r>
          </w:p>
        </w:tc>
        <w:tc>
          <w:tcPr>
            <w:tcW w:w="1568"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＞50％</w:t>
            </w:r>
          </w:p>
        </w:tc>
        <w:tc>
          <w:tcPr>
            <w:tcW w:w="17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 xml:space="preserve">85.52% </w:t>
            </w:r>
          </w:p>
        </w:tc>
        <w:tc>
          <w:tcPr>
            <w:tcW w:w="1737"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 xml:space="preserve">75.12%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254"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拨备覆盖率</w:t>
            </w:r>
          </w:p>
        </w:tc>
        <w:tc>
          <w:tcPr>
            <w:tcW w:w="1568"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≥150％</w:t>
            </w:r>
          </w:p>
        </w:tc>
        <w:tc>
          <w:tcPr>
            <w:tcW w:w="17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 xml:space="preserve">155.33% </w:t>
            </w:r>
          </w:p>
        </w:tc>
        <w:tc>
          <w:tcPr>
            <w:tcW w:w="1737"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 xml:space="preserve">155.22%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254"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贷款拨备率</w:t>
            </w:r>
          </w:p>
        </w:tc>
        <w:tc>
          <w:tcPr>
            <w:tcW w:w="1568"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≥2.5%</w:t>
            </w:r>
          </w:p>
        </w:tc>
        <w:tc>
          <w:tcPr>
            <w:tcW w:w="17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 xml:space="preserve">4.17% </w:t>
            </w:r>
          </w:p>
        </w:tc>
        <w:tc>
          <w:tcPr>
            <w:tcW w:w="1737"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 xml:space="preserve">4.04%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254"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单一最大客户贷款比例</w:t>
            </w:r>
          </w:p>
        </w:tc>
        <w:tc>
          <w:tcPr>
            <w:tcW w:w="1568"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w:t>
            </w:r>
          </w:p>
        </w:tc>
        <w:tc>
          <w:tcPr>
            <w:tcW w:w="17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rPr>
              <w:t>6.48%</w:t>
            </w:r>
          </w:p>
        </w:tc>
        <w:tc>
          <w:tcPr>
            <w:tcW w:w="1737"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54"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单一最大集团客户授信比</w:t>
            </w:r>
          </w:p>
        </w:tc>
        <w:tc>
          <w:tcPr>
            <w:tcW w:w="1568"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≤15％</w:t>
            </w:r>
          </w:p>
        </w:tc>
        <w:tc>
          <w:tcPr>
            <w:tcW w:w="17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rPr>
              <w:t>12.31%</w:t>
            </w:r>
          </w:p>
        </w:tc>
        <w:tc>
          <w:tcPr>
            <w:tcW w:w="1737"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rPr>
              <w:t>13.50%</w:t>
            </w:r>
          </w:p>
        </w:tc>
      </w:tr>
    </w:tbl>
    <w:p>
      <w:pPr>
        <w:autoSpaceDE w:val="0"/>
        <w:autoSpaceDN w:val="0"/>
        <w:adjustRightInd w:val="0"/>
        <w:ind w:firstLine="422" w:firstLineChars="200"/>
        <w:rPr>
          <w:rFonts w:hint="default" w:ascii="Times New Roman" w:hAnsi="Times New Roman" w:cs="Times New Roman"/>
          <w:b/>
          <w:kern w:val="0"/>
          <w:position w:val="-3"/>
          <w:szCs w:val="21"/>
          <w:highlight w:val="none"/>
        </w:rPr>
      </w:pPr>
    </w:p>
    <w:p>
      <w:pPr>
        <w:autoSpaceDE w:val="0"/>
        <w:autoSpaceDN w:val="0"/>
        <w:adjustRightInd w:val="0"/>
        <w:ind w:firstLine="602" w:firstLineChars="200"/>
        <w:rPr>
          <w:rFonts w:hint="default" w:ascii="Times New Roman" w:hAnsi="Times New Roman" w:eastAsia="仿宋_GB2312" w:cs="Times New Roman"/>
          <w:b/>
          <w:kern w:val="0"/>
          <w:position w:val="-3"/>
          <w:sz w:val="30"/>
          <w:szCs w:val="30"/>
          <w:highlight w:val="none"/>
          <w:lang w:eastAsia="zh-CN"/>
        </w:rPr>
      </w:pPr>
      <w:r>
        <w:rPr>
          <w:rFonts w:hint="default" w:ascii="Times New Roman" w:hAnsi="Times New Roman" w:eastAsia="仿宋_GB2312" w:cs="Times New Roman"/>
          <w:b/>
          <w:kern w:val="0"/>
          <w:position w:val="-3"/>
          <w:sz w:val="30"/>
          <w:szCs w:val="30"/>
          <w:highlight w:val="none"/>
        </w:rPr>
        <w:t>4.4 贷款投放情况</w:t>
      </w:r>
    </w:p>
    <w:p>
      <w:pPr>
        <w:autoSpaceDE w:val="0"/>
        <w:autoSpaceDN w:val="0"/>
        <w:adjustRightInd w:val="0"/>
        <w:ind w:firstLine="602" w:firstLineChars="200"/>
        <w:rPr>
          <w:rFonts w:hint="default" w:ascii="Times New Roman" w:hAnsi="Times New Roman" w:eastAsia="仿宋_GB2312" w:cs="Times New Roman"/>
          <w:b/>
          <w:bCs/>
          <w:sz w:val="30"/>
          <w:szCs w:val="30"/>
          <w:highlight w:val="none"/>
        </w:rPr>
      </w:pPr>
      <w:r>
        <w:rPr>
          <w:rFonts w:hint="default" w:ascii="Times New Roman" w:hAnsi="Times New Roman" w:eastAsia="仿宋_GB2312" w:cs="Times New Roman"/>
          <w:b/>
          <w:bCs/>
          <w:sz w:val="30"/>
          <w:szCs w:val="30"/>
          <w:highlight w:val="none"/>
        </w:rPr>
        <w:t>4.4.1  贷款行业分布情况</w:t>
      </w:r>
    </w:p>
    <w:p>
      <w:pPr>
        <w:autoSpaceDE w:val="0"/>
        <w:autoSpaceDN w:val="0"/>
        <w:adjustRightInd w:val="0"/>
        <w:ind w:firstLine="6300" w:firstLineChars="3000"/>
        <w:rPr>
          <w:rFonts w:hint="default" w:ascii="Times New Roman" w:hAnsi="Times New Roman" w:cs="Times New Roman"/>
          <w:kern w:val="0"/>
          <w:position w:val="-3"/>
          <w:szCs w:val="21"/>
          <w:highlight w:val="none"/>
        </w:rPr>
      </w:pPr>
      <w:r>
        <w:rPr>
          <w:rFonts w:hint="default" w:ascii="Times New Roman" w:hAnsi="Times New Roman" w:cs="Times New Roman"/>
          <w:szCs w:val="21"/>
          <w:highlight w:val="none"/>
        </w:rPr>
        <w:t>单位：人民币万元</w:t>
      </w:r>
    </w:p>
    <w:tbl>
      <w:tblPr>
        <w:tblStyle w:val="3"/>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84"/>
        <w:gridCol w:w="1000"/>
        <w:gridCol w:w="128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486"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行  业</w:t>
            </w:r>
          </w:p>
        </w:tc>
        <w:tc>
          <w:tcPr>
            <w:tcW w:w="2284" w:type="dxa"/>
            <w:gridSpan w:val="2"/>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202</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年12月31日</w:t>
            </w:r>
          </w:p>
        </w:tc>
        <w:tc>
          <w:tcPr>
            <w:tcW w:w="2570" w:type="dxa"/>
            <w:gridSpan w:val="2"/>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202</w:t>
            </w:r>
            <w:r>
              <w:rPr>
                <w:rFonts w:hint="default" w:ascii="Times New Roman" w:hAnsi="Times New Roman" w:eastAsia="仿宋_GB2312" w:cs="Times New Roman"/>
                <w:sz w:val="24"/>
                <w:szCs w:val="24"/>
                <w:highlight w:val="none"/>
                <w:lang w:val="en-US" w:eastAsia="zh-CN"/>
              </w:rPr>
              <w:t>4</w:t>
            </w:r>
            <w:r>
              <w:rPr>
                <w:rFonts w:hint="default" w:ascii="Times New Roman" w:hAnsi="Times New Roman" w:eastAsia="仿宋_GB2312" w:cs="Times New Roman"/>
                <w:sz w:val="24"/>
                <w:szCs w:val="24"/>
                <w:highlight w:val="none"/>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486"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1284"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金额</w:t>
            </w:r>
          </w:p>
        </w:tc>
        <w:tc>
          <w:tcPr>
            <w:tcW w:w="1000"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比例</w:t>
            </w:r>
          </w:p>
        </w:tc>
        <w:tc>
          <w:tcPr>
            <w:tcW w:w="128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金额</w:t>
            </w:r>
          </w:p>
        </w:tc>
        <w:tc>
          <w:tcPr>
            <w:tcW w:w="128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个人贷款(不含个人经营性贷款)</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2628.74</w:t>
            </w:r>
          </w:p>
        </w:tc>
        <w:tc>
          <w:tcPr>
            <w:tcW w:w="1000"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5.08%</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2261.53</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农、林、牧、渔业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3090.40</w:t>
            </w:r>
          </w:p>
        </w:tc>
        <w:tc>
          <w:tcPr>
            <w:tcW w:w="1000"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5.97%</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3542.32</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制造业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3805.57</w:t>
            </w:r>
          </w:p>
        </w:tc>
        <w:tc>
          <w:tcPr>
            <w:tcW w:w="1000"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7.35%</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9976.92</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16.51%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批发和零售业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10423.26</w:t>
            </w:r>
          </w:p>
        </w:tc>
        <w:tc>
          <w:tcPr>
            <w:tcW w:w="1000"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20.12%</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11434.46</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18.92%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租赁和商务服务业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3730.07</w:t>
            </w:r>
          </w:p>
        </w:tc>
        <w:tc>
          <w:tcPr>
            <w:tcW w:w="1000"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7.20%</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4413.60</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居民服务、修理和其他服务业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2065.28</w:t>
            </w:r>
          </w:p>
        </w:tc>
        <w:tc>
          <w:tcPr>
            <w:tcW w:w="1000"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3.99%</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2626.07</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教育业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465.19</w:t>
            </w:r>
          </w:p>
        </w:tc>
        <w:tc>
          <w:tcPr>
            <w:tcW w:w="1000"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0.90%</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553.40</w:t>
            </w:r>
          </w:p>
        </w:tc>
        <w:tc>
          <w:tcPr>
            <w:tcW w:w="1285" w:type="dxa"/>
            <w:noWrap w:val="0"/>
            <w:vAlign w:val="center"/>
          </w:tcPr>
          <w:p>
            <w:pPr>
              <w:jc w:val="center"/>
              <w:rPr>
                <w:rFonts w:hint="default" w:ascii="Times New Roman" w:hAnsi="Times New Roman" w:cs="Times New Roman"/>
                <w:highlight w:val="none"/>
              </w:rPr>
            </w:pPr>
            <w:r>
              <w:rPr>
                <w:rFonts w:hint="default" w:ascii="Times New Roman" w:hAnsi="Times New Roman" w:eastAsia="仿宋_GB2312" w:cs="Times New Roman"/>
                <w:sz w:val="24"/>
                <w:szCs w:val="24"/>
                <w:highlight w:val="none"/>
                <w:lang w:val="en-US" w:eastAsia="zh-CN"/>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交通运输业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928.81</w:t>
            </w:r>
          </w:p>
        </w:tc>
        <w:tc>
          <w:tcPr>
            <w:tcW w:w="1000"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1.79%</w:t>
            </w:r>
          </w:p>
        </w:tc>
        <w:tc>
          <w:tcPr>
            <w:tcW w:w="1285"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1262.00</w:t>
            </w:r>
          </w:p>
        </w:tc>
        <w:tc>
          <w:tcPr>
            <w:tcW w:w="128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采矿业</w:t>
            </w:r>
          </w:p>
        </w:tc>
        <w:tc>
          <w:tcPr>
            <w:tcW w:w="1284"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val="en-US" w:eastAsia="zh-CN"/>
              </w:rPr>
              <w:t>0</w:t>
            </w:r>
          </w:p>
        </w:tc>
        <w:tc>
          <w:tcPr>
            <w:tcW w:w="1000"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0.00%</w:t>
            </w:r>
          </w:p>
        </w:tc>
        <w:tc>
          <w:tcPr>
            <w:tcW w:w="128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val="en-US" w:eastAsia="zh-CN"/>
              </w:rPr>
              <w:t>0</w:t>
            </w:r>
          </w:p>
        </w:tc>
        <w:tc>
          <w:tcPr>
            <w:tcW w:w="128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电力、热力、燃气及水生产和供应业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1015</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1.96%</w:t>
            </w:r>
          </w:p>
        </w:tc>
        <w:tc>
          <w:tcPr>
            <w:tcW w:w="1285" w:type="dxa"/>
            <w:noWrap w:val="0"/>
            <w:vAlign w:val="center"/>
          </w:tcPr>
          <w:p>
            <w:pPr>
              <w:jc w:val="center"/>
              <w:rPr>
                <w:rFonts w:hint="default" w:ascii="Times New Roman" w:hAnsi="Times New Roman" w:eastAsia="仿宋_GB2312" w:cs="Times New Roman"/>
                <w:bCs/>
                <w:sz w:val="24"/>
                <w:szCs w:val="24"/>
                <w:highlight w:val="none"/>
                <w:lang w:eastAsia="zh-CN"/>
              </w:rPr>
            </w:pPr>
            <w:r>
              <w:rPr>
                <w:rFonts w:hint="default" w:ascii="Times New Roman" w:hAnsi="Times New Roman" w:eastAsia="仿宋_GB2312" w:cs="Times New Roman"/>
                <w:sz w:val="24"/>
                <w:szCs w:val="24"/>
                <w:highlight w:val="none"/>
                <w:lang w:val="en-US" w:eastAsia="zh-CN"/>
              </w:rPr>
              <w:t>1127.00</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公共管理、社会保障和社会组织</w:t>
            </w:r>
          </w:p>
        </w:tc>
        <w:tc>
          <w:tcPr>
            <w:tcW w:w="1284"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0</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0.00%</w:t>
            </w:r>
          </w:p>
        </w:tc>
        <w:tc>
          <w:tcPr>
            <w:tcW w:w="1285" w:type="dxa"/>
            <w:noWrap w:val="0"/>
            <w:vAlign w:val="center"/>
          </w:tcPr>
          <w:p>
            <w:pPr>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sz w:val="24"/>
                <w:szCs w:val="24"/>
                <w:highlight w:val="none"/>
              </w:rPr>
              <w:t>0</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建筑业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17027.61</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32.87%</w:t>
            </w:r>
          </w:p>
        </w:tc>
        <w:tc>
          <w:tcPr>
            <w:tcW w:w="128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13557.71</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22.43%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文化、体育和娱乐业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696.92</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1.35%</w:t>
            </w:r>
          </w:p>
        </w:tc>
        <w:tc>
          <w:tcPr>
            <w:tcW w:w="128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1453.62</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信息传输、软件和信息技术服务业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485.07</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0.94%</w:t>
            </w:r>
          </w:p>
        </w:tc>
        <w:tc>
          <w:tcPr>
            <w:tcW w:w="128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415.32</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住宿和餐饮业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4580.92</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8.84%</w:t>
            </w:r>
          </w:p>
        </w:tc>
        <w:tc>
          <w:tcPr>
            <w:tcW w:w="128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4789.00</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金融业</w:t>
            </w:r>
          </w:p>
        </w:tc>
        <w:tc>
          <w:tcPr>
            <w:tcW w:w="1284"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0</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0.00%</w:t>
            </w:r>
          </w:p>
        </w:tc>
        <w:tc>
          <w:tcPr>
            <w:tcW w:w="1285" w:type="dxa"/>
            <w:noWrap w:val="0"/>
            <w:vAlign w:val="center"/>
          </w:tcPr>
          <w:p>
            <w:pPr>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sz w:val="24"/>
                <w:szCs w:val="24"/>
                <w:highlight w:val="none"/>
              </w:rPr>
              <w:t>0</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科学研究和技术服务业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4.96</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0.01%</w:t>
            </w:r>
          </w:p>
        </w:tc>
        <w:tc>
          <w:tcPr>
            <w:tcW w:w="1285" w:type="dxa"/>
            <w:noWrap w:val="0"/>
            <w:vAlign w:val="center"/>
          </w:tcPr>
          <w:p>
            <w:pPr>
              <w:jc w:val="center"/>
              <w:rPr>
                <w:rFonts w:hint="default" w:ascii="Times New Roman" w:hAnsi="Times New Roman" w:eastAsia="仿宋_GB2312" w:cs="Times New Roman"/>
                <w:bCs/>
                <w:sz w:val="24"/>
                <w:szCs w:val="24"/>
                <w:highlight w:val="none"/>
                <w:lang w:eastAsia="zh-CN"/>
              </w:rPr>
            </w:pPr>
            <w:r>
              <w:rPr>
                <w:rFonts w:hint="default" w:ascii="Times New Roman" w:hAnsi="Times New Roman" w:eastAsia="仿宋_GB2312" w:cs="Times New Roman"/>
                <w:sz w:val="24"/>
                <w:szCs w:val="24"/>
                <w:highlight w:val="none"/>
                <w:lang w:val="en-US" w:eastAsia="zh-CN"/>
              </w:rPr>
              <w:t>249.00</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86"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卫生和社会工作</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107</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0.21%</w:t>
            </w:r>
          </w:p>
        </w:tc>
        <w:tc>
          <w:tcPr>
            <w:tcW w:w="128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217.00</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486"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房地产业</w:t>
            </w:r>
          </w:p>
        </w:tc>
        <w:tc>
          <w:tcPr>
            <w:tcW w:w="1284"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val="en-US" w:eastAsia="zh-CN"/>
              </w:rPr>
              <w:t>0</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0.00%</w:t>
            </w:r>
          </w:p>
        </w:tc>
        <w:tc>
          <w:tcPr>
            <w:tcW w:w="1285" w:type="dxa"/>
            <w:noWrap w:val="0"/>
            <w:vAlign w:val="center"/>
          </w:tcPr>
          <w:p>
            <w:pPr>
              <w:jc w:val="center"/>
              <w:rPr>
                <w:rFonts w:hint="default" w:ascii="Times New Roman" w:hAnsi="Times New Roman" w:eastAsia="仿宋_GB2312" w:cs="Times New Roman"/>
                <w:bCs/>
                <w:sz w:val="24"/>
                <w:szCs w:val="24"/>
                <w:highlight w:val="none"/>
                <w:lang w:eastAsia="zh-CN"/>
              </w:rPr>
            </w:pPr>
            <w:r>
              <w:rPr>
                <w:rFonts w:hint="default" w:ascii="Times New Roman" w:hAnsi="Times New Roman" w:eastAsia="仿宋_GB2312" w:cs="Times New Roman"/>
                <w:sz w:val="24"/>
                <w:szCs w:val="24"/>
                <w:highlight w:val="none"/>
                <w:lang w:val="en-US" w:eastAsia="zh-CN"/>
              </w:rPr>
              <w:t>0</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486"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水利、环境和公共设施管理业</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742</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1.43%</w:t>
            </w:r>
          </w:p>
        </w:tc>
        <w:tc>
          <w:tcPr>
            <w:tcW w:w="128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2565</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486" w:type="dxa"/>
            <w:noWrap w:val="0"/>
            <w:vAlign w:val="bottom"/>
          </w:tcPr>
          <w:p>
            <w:pPr>
              <w:widowControl/>
              <w:textAlignment w:val="bottom"/>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 xml:space="preserve">贷款和垫款总额 </w:t>
            </w:r>
          </w:p>
        </w:tc>
        <w:tc>
          <w:tcPr>
            <w:tcW w:w="1284"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51796.83</w:t>
            </w:r>
          </w:p>
        </w:tc>
        <w:tc>
          <w:tcPr>
            <w:tcW w:w="10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100.00%</w:t>
            </w:r>
          </w:p>
        </w:tc>
        <w:tc>
          <w:tcPr>
            <w:tcW w:w="128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60443.95</w:t>
            </w:r>
          </w:p>
        </w:tc>
        <w:tc>
          <w:tcPr>
            <w:tcW w:w="12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100.00%</w:t>
            </w:r>
          </w:p>
        </w:tc>
      </w:tr>
    </w:tbl>
    <w:p>
      <w:pPr>
        <w:ind w:firstLine="422" w:firstLineChars="200"/>
        <w:rPr>
          <w:rFonts w:hint="default" w:ascii="Times New Roman" w:hAnsi="Times New Roman" w:cs="Times New Roman"/>
          <w:b/>
          <w:bCs/>
          <w:szCs w:val="21"/>
          <w:highlight w:val="none"/>
        </w:rPr>
      </w:pPr>
    </w:p>
    <w:p>
      <w:pPr>
        <w:ind w:firstLine="602"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bCs/>
          <w:sz w:val="30"/>
          <w:szCs w:val="30"/>
          <w:highlight w:val="none"/>
        </w:rPr>
        <w:t>4.4.2 贷款担保方式分布情况</w:t>
      </w:r>
      <w:r>
        <w:rPr>
          <w:rFonts w:hint="default" w:ascii="Times New Roman" w:hAnsi="Times New Roman" w:eastAsia="仿宋_GB2312" w:cs="Times New Roman"/>
          <w:sz w:val="30"/>
          <w:szCs w:val="30"/>
          <w:highlight w:val="none"/>
        </w:rPr>
        <w:t xml:space="preserve"> </w:t>
      </w:r>
    </w:p>
    <w:p>
      <w:pPr>
        <w:ind w:firstLine="6300" w:firstLineChars="3000"/>
        <w:rPr>
          <w:rFonts w:hint="default" w:ascii="Times New Roman" w:hAnsi="Times New Roman" w:cs="Times New Roman"/>
          <w:b/>
          <w:szCs w:val="21"/>
          <w:highlight w:val="none"/>
        </w:rPr>
      </w:pPr>
      <w:r>
        <w:rPr>
          <w:rFonts w:hint="default" w:ascii="Times New Roman" w:hAnsi="Times New Roman" w:cs="Times New Roman"/>
          <w:szCs w:val="21"/>
          <w:highlight w:val="none"/>
        </w:rPr>
        <w:t>单位：人民币万元</w:t>
      </w:r>
    </w:p>
    <w:tbl>
      <w:tblPr>
        <w:tblStyle w:val="3"/>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2745"/>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758" w:type="dxa"/>
            <w:noWrap w:val="0"/>
            <w:vAlign w:val="center"/>
          </w:tcPr>
          <w:p>
            <w:pPr>
              <w:widowControl/>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项  目</w:t>
            </w:r>
          </w:p>
        </w:tc>
        <w:tc>
          <w:tcPr>
            <w:tcW w:w="2745" w:type="dxa"/>
            <w:noWrap w:val="0"/>
            <w:vAlign w:val="center"/>
          </w:tcPr>
          <w:p>
            <w:pPr>
              <w:tabs>
                <w:tab w:val="right" w:pos="2018"/>
                <w:tab w:val="right" w:pos="7920"/>
              </w:tabs>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202</w:t>
            </w:r>
            <w:r>
              <w:rPr>
                <w:rFonts w:hint="default" w:ascii="Times New Roman" w:hAnsi="Times New Roman" w:eastAsia="仿宋_GB2312" w:cs="Times New Roman"/>
                <w:b/>
                <w:sz w:val="24"/>
                <w:szCs w:val="24"/>
                <w:highlight w:val="none"/>
                <w:lang w:val="en-US" w:eastAsia="zh-CN"/>
              </w:rPr>
              <w:t>3</w:t>
            </w:r>
            <w:r>
              <w:rPr>
                <w:rFonts w:hint="default" w:ascii="Times New Roman" w:hAnsi="Times New Roman" w:eastAsia="仿宋_GB2312" w:cs="Times New Roman"/>
                <w:b/>
                <w:sz w:val="24"/>
                <w:szCs w:val="24"/>
                <w:highlight w:val="none"/>
              </w:rPr>
              <w:t>年12月31日</w:t>
            </w:r>
          </w:p>
        </w:tc>
        <w:tc>
          <w:tcPr>
            <w:tcW w:w="2817" w:type="dxa"/>
            <w:noWrap w:val="0"/>
            <w:vAlign w:val="center"/>
          </w:tcPr>
          <w:p>
            <w:pPr>
              <w:tabs>
                <w:tab w:val="right" w:pos="2018"/>
                <w:tab w:val="right" w:pos="7920"/>
              </w:tabs>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202</w:t>
            </w:r>
            <w:r>
              <w:rPr>
                <w:rFonts w:hint="default" w:ascii="Times New Roman" w:hAnsi="Times New Roman" w:eastAsia="仿宋_GB2312" w:cs="Times New Roman"/>
                <w:b/>
                <w:sz w:val="24"/>
                <w:szCs w:val="24"/>
                <w:highlight w:val="none"/>
                <w:lang w:val="en-US" w:eastAsia="zh-CN"/>
              </w:rPr>
              <w:t>4</w:t>
            </w:r>
            <w:r>
              <w:rPr>
                <w:rFonts w:hint="default" w:ascii="Times New Roman" w:hAnsi="Times New Roman" w:eastAsia="仿宋_GB2312" w:cs="Times New Roman"/>
                <w:b/>
                <w:sz w:val="24"/>
                <w:szCs w:val="24"/>
                <w:highlight w:val="none"/>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758"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保证贷款</w:t>
            </w:r>
          </w:p>
        </w:tc>
        <w:tc>
          <w:tcPr>
            <w:tcW w:w="274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15586.80</w:t>
            </w:r>
          </w:p>
        </w:tc>
        <w:tc>
          <w:tcPr>
            <w:tcW w:w="2817"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23089.27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758"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附担保物贷款</w:t>
            </w:r>
          </w:p>
        </w:tc>
        <w:tc>
          <w:tcPr>
            <w:tcW w:w="274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32143.42</w:t>
            </w:r>
          </w:p>
        </w:tc>
        <w:tc>
          <w:tcPr>
            <w:tcW w:w="2817"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28943.76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758"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其中：抵押贷款</w:t>
            </w:r>
          </w:p>
        </w:tc>
        <w:tc>
          <w:tcPr>
            <w:tcW w:w="274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32143.42</w:t>
            </w:r>
          </w:p>
        </w:tc>
        <w:tc>
          <w:tcPr>
            <w:tcW w:w="2817"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28908.76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758"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 xml:space="preserve">      质押贷款</w:t>
            </w:r>
          </w:p>
        </w:tc>
        <w:tc>
          <w:tcPr>
            <w:tcW w:w="274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0</w:t>
            </w:r>
          </w:p>
        </w:tc>
        <w:tc>
          <w:tcPr>
            <w:tcW w:w="2817" w:type="dxa"/>
            <w:noWrap w:val="0"/>
            <w:vAlign w:val="center"/>
          </w:tcPr>
          <w:p>
            <w:pPr>
              <w:jc w:val="center"/>
              <w:rPr>
                <w:rFonts w:hint="default" w:ascii="Times New Roman" w:hAnsi="Times New Roman" w:eastAsia="仿宋_GB2312" w:cs="Times New Roman"/>
                <w:bCs/>
                <w:sz w:val="24"/>
                <w:szCs w:val="24"/>
                <w:highlight w:val="none"/>
                <w:lang w:eastAsia="zh-CN"/>
              </w:rPr>
            </w:pPr>
            <w:r>
              <w:rPr>
                <w:rFonts w:hint="default" w:ascii="Times New Roman" w:hAnsi="Times New Roman" w:eastAsia="仿宋_GB2312" w:cs="Times New Roman"/>
                <w:bCs/>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758"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信用贷款</w:t>
            </w:r>
          </w:p>
        </w:tc>
        <w:tc>
          <w:tcPr>
            <w:tcW w:w="274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4066.61</w:t>
            </w:r>
          </w:p>
        </w:tc>
        <w:tc>
          <w:tcPr>
            <w:tcW w:w="2817"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8410.92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758"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贴现</w:t>
            </w:r>
          </w:p>
        </w:tc>
        <w:tc>
          <w:tcPr>
            <w:tcW w:w="2745" w:type="dxa"/>
            <w:noWrap w:val="0"/>
            <w:vAlign w:val="center"/>
          </w:tcPr>
          <w:p>
            <w:pPr>
              <w:jc w:val="center"/>
              <w:rPr>
                <w:rFonts w:hint="default" w:ascii="Times New Roman" w:hAnsi="Times New Roman" w:eastAsia="仿宋_GB2312" w:cs="Times New Roman"/>
                <w:bCs/>
                <w:sz w:val="24"/>
                <w:szCs w:val="24"/>
                <w:highlight w:val="none"/>
                <w:lang w:eastAsia="zh-CN"/>
              </w:rPr>
            </w:pPr>
            <w:r>
              <w:rPr>
                <w:rFonts w:hint="default" w:ascii="Times New Roman" w:hAnsi="Times New Roman" w:eastAsia="仿宋_GB2312" w:cs="Times New Roman"/>
                <w:bCs/>
                <w:sz w:val="24"/>
                <w:szCs w:val="24"/>
                <w:highlight w:val="none"/>
                <w:lang w:val="en-US" w:eastAsia="zh-CN"/>
              </w:rPr>
              <w:t>0</w:t>
            </w:r>
          </w:p>
        </w:tc>
        <w:tc>
          <w:tcPr>
            <w:tcW w:w="2817" w:type="dxa"/>
            <w:noWrap w:val="0"/>
            <w:vAlign w:val="center"/>
          </w:tcPr>
          <w:p>
            <w:pPr>
              <w:jc w:val="center"/>
              <w:rPr>
                <w:rFonts w:hint="default" w:ascii="Times New Roman" w:hAnsi="Times New Roman" w:eastAsia="仿宋_GB2312" w:cs="Times New Roman"/>
                <w:bCs/>
                <w:sz w:val="24"/>
                <w:szCs w:val="24"/>
                <w:highlight w:val="none"/>
                <w:lang w:eastAsia="zh-CN"/>
              </w:rPr>
            </w:pPr>
            <w:r>
              <w:rPr>
                <w:rFonts w:hint="default" w:ascii="Times New Roman" w:hAnsi="Times New Roman" w:eastAsia="仿宋_GB2312" w:cs="Times New Roman"/>
                <w:bCs/>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758"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其中：银行承兑汇票</w:t>
            </w:r>
          </w:p>
        </w:tc>
        <w:tc>
          <w:tcPr>
            <w:tcW w:w="274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0</w:t>
            </w:r>
          </w:p>
        </w:tc>
        <w:tc>
          <w:tcPr>
            <w:tcW w:w="2817"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180.05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758" w:type="dxa"/>
            <w:noWrap w:val="0"/>
            <w:vAlign w:val="center"/>
          </w:tcPr>
          <w:p>
            <w:pPr>
              <w:widowControl/>
              <w:jc w:val="lef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 xml:space="preserve">      商业承兑汇票</w:t>
            </w:r>
          </w:p>
        </w:tc>
        <w:tc>
          <w:tcPr>
            <w:tcW w:w="2745" w:type="dxa"/>
            <w:noWrap w:val="0"/>
            <w:vAlign w:val="center"/>
          </w:tcPr>
          <w:p>
            <w:pPr>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bCs/>
                <w:sz w:val="24"/>
                <w:szCs w:val="24"/>
                <w:highlight w:val="none"/>
              </w:rPr>
              <w:t>0</w:t>
            </w:r>
          </w:p>
        </w:tc>
        <w:tc>
          <w:tcPr>
            <w:tcW w:w="2817" w:type="dxa"/>
            <w:noWrap w:val="0"/>
            <w:vAlign w:val="center"/>
          </w:tcPr>
          <w:p>
            <w:pPr>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bCs/>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58" w:type="dxa"/>
            <w:noWrap w:val="0"/>
            <w:vAlign w:val="bottom"/>
          </w:tcPr>
          <w:p>
            <w:pPr>
              <w:widowControl/>
              <w:textAlignment w:val="bottom"/>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bidi="ar"/>
              </w:rPr>
              <w:t xml:space="preserve">贷款和垫款总额 </w:t>
            </w:r>
          </w:p>
        </w:tc>
        <w:tc>
          <w:tcPr>
            <w:tcW w:w="2745"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51796.83</w:t>
            </w:r>
          </w:p>
        </w:tc>
        <w:tc>
          <w:tcPr>
            <w:tcW w:w="2817" w:type="dxa"/>
            <w:noWrap w:val="0"/>
            <w:vAlign w:val="center"/>
          </w:tcPr>
          <w:p>
            <w:pPr>
              <w:jc w:val="center"/>
              <w:rPr>
                <w:rFonts w:hint="default" w:ascii="Times New Roman" w:hAnsi="Times New Roman" w:eastAsia="仿宋_GB2312" w:cs="Times New Roman"/>
                <w:bCs/>
                <w:sz w:val="24"/>
                <w:szCs w:val="24"/>
                <w:highlight w:val="none"/>
                <w:lang w:val="en-US" w:eastAsia="zh-CN"/>
              </w:rPr>
            </w:pPr>
            <w:r>
              <w:rPr>
                <w:rFonts w:hint="default" w:ascii="Times New Roman" w:hAnsi="Times New Roman" w:eastAsia="仿宋_GB2312" w:cs="Times New Roman"/>
                <w:bCs/>
                <w:sz w:val="24"/>
                <w:szCs w:val="24"/>
                <w:highlight w:val="none"/>
                <w:lang w:val="en-US" w:eastAsia="zh-CN"/>
              </w:rPr>
              <w:t>60443.95</w:t>
            </w:r>
          </w:p>
        </w:tc>
      </w:tr>
    </w:tbl>
    <w:p>
      <w:pPr>
        <w:rPr>
          <w:rFonts w:hint="default" w:ascii="Times New Roman" w:hAnsi="Times New Roman" w:cs="Times New Roman"/>
          <w:szCs w:val="21"/>
          <w:highlight w:val="none"/>
        </w:rPr>
      </w:pPr>
    </w:p>
    <w:p>
      <w:pPr>
        <w:ind w:firstLine="602"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bCs/>
          <w:sz w:val="30"/>
          <w:szCs w:val="30"/>
          <w:highlight w:val="none"/>
        </w:rPr>
        <w:t>5</w:t>
      </w:r>
      <w:r>
        <w:rPr>
          <w:rFonts w:hint="default" w:ascii="Times New Roman" w:hAnsi="Times New Roman" w:eastAsia="仿宋_GB2312" w:cs="Times New Roman"/>
          <w:b/>
          <w:bCs/>
          <w:sz w:val="30"/>
          <w:szCs w:val="30"/>
          <w:highlight w:val="none"/>
          <w:lang w:eastAsia="zh-CN"/>
        </w:rPr>
        <w:t>、</w:t>
      </w:r>
      <w:r>
        <w:rPr>
          <w:rFonts w:hint="default" w:ascii="Times New Roman" w:hAnsi="Times New Roman" w:eastAsia="仿宋_GB2312" w:cs="Times New Roman"/>
          <w:b/>
          <w:sz w:val="30"/>
          <w:szCs w:val="30"/>
          <w:highlight w:val="none"/>
        </w:rPr>
        <w:t>股本变动及股东情况</w:t>
      </w:r>
    </w:p>
    <w:p>
      <w:pPr>
        <w:ind w:firstLine="602" w:firstLineChars="200"/>
        <w:rPr>
          <w:rFonts w:hint="default" w:ascii="Times New Roman" w:hAnsi="Times New Roman" w:eastAsia="仿宋_GB2312" w:cs="Times New Roman"/>
          <w:b/>
          <w:color w:val="auto"/>
          <w:sz w:val="30"/>
          <w:szCs w:val="30"/>
          <w:highlight w:val="none"/>
        </w:rPr>
      </w:pPr>
      <w:r>
        <w:rPr>
          <w:rFonts w:hint="default" w:ascii="Times New Roman" w:hAnsi="Times New Roman" w:eastAsia="仿宋_GB2312" w:cs="Times New Roman"/>
          <w:b/>
          <w:color w:val="auto"/>
          <w:sz w:val="30"/>
          <w:szCs w:val="30"/>
          <w:highlight w:val="none"/>
        </w:rPr>
        <w:t>5.1股东权益</w:t>
      </w:r>
    </w:p>
    <w:p>
      <w:pPr>
        <w:ind w:firstLine="6300" w:firstLineChars="3000"/>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单位:万元</w:t>
      </w:r>
    </w:p>
    <w:tbl>
      <w:tblPr>
        <w:tblStyle w:val="3"/>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2549"/>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3" w:type="dxa"/>
            <w:noWrap w:val="0"/>
            <w:vAlign w:val="center"/>
          </w:tcPr>
          <w:p>
            <w:pPr>
              <w:widowControl/>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项  目</w:t>
            </w:r>
          </w:p>
        </w:tc>
        <w:tc>
          <w:tcPr>
            <w:tcW w:w="2549" w:type="dxa"/>
            <w:noWrap w:val="0"/>
            <w:vAlign w:val="center"/>
          </w:tcPr>
          <w:p>
            <w:pPr>
              <w:tabs>
                <w:tab w:val="right" w:pos="2018"/>
                <w:tab w:val="right" w:pos="7920"/>
              </w:tabs>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202</w:t>
            </w:r>
            <w:r>
              <w:rPr>
                <w:rFonts w:hint="default" w:ascii="Times New Roman" w:hAnsi="Times New Roman" w:eastAsia="仿宋_GB2312" w:cs="Times New Roman"/>
                <w:b/>
                <w:color w:val="auto"/>
                <w:sz w:val="24"/>
                <w:szCs w:val="24"/>
                <w:highlight w:val="none"/>
                <w:lang w:val="en-US" w:eastAsia="zh-CN"/>
              </w:rPr>
              <w:t>3</w:t>
            </w:r>
            <w:r>
              <w:rPr>
                <w:rFonts w:hint="default" w:ascii="Times New Roman" w:hAnsi="Times New Roman" w:eastAsia="仿宋_GB2312" w:cs="Times New Roman"/>
                <w:b/>
                <w:color w:val="auto"/>
                <w:sz w:val="24"/>
                <w:szCs w:val="24"/>
                <w:highlight w:val="none"/>
              </w:rPr>
              <w:t>年12月31日</w:t>
            </w:r>
          </w:p>
        </w:tc>
        <w:tc>
          <w:tcPr>
            <w:tcW w:w="2708" w:type="dxa"/>
            <w:noWrap w:val="0"/>
            <w:vAlign w:val="center"/>
          </w:tcPr>
          <w:p>
            <w:pPr>
              <w:tabs>
                <w:tab w:val="right" w:pos="2018"/>
                <w:tab w:val="right" w:pos="7920"/>
              </w:tabs>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202</w:t>
            </w:r>
            <w:r>
              <w:rPr>
                <w:rFonts w:hint="default" w:ascii="Times New Roman" w:hAnsi="Times New Roman" w:eastAsia="仿宋_GB2312" w:cs="Times New Roman"/>
                <w:b/>
                <w:color w:val="auto"/>
                <w:sz w:val="24"/>
                <w:szCs w:val="24"/>
                <w:highlight w:val="none"/>
                <w:lang w:val="en-US" w:eastAsia="zh-CN"/>
              </w:rPr>
              <w:t>4</w:t>
            </w:r>
            <w:r>
              <w:rPr>
                <w:rFonts w:hint="default" w:ascii="Times New Roman" w:hAnsi="Times New Roman" w:eastAsia="仿宋_GB2312" w:cs="Times New Roman"/>
                <w:b/>
                <w:color w:val="auto"/>
                <w:sz w:val="24"/>
                <w:szCs w:val="24"/>
                <w:highlight w:val="none"/>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023" w:type="dxa"/>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总股本</w:t>
            </w:r>
          </w:p>
        </w:tc>
        <w:tc>
          <w:tcPr>
            <w:tcW w:w="2549" w:type="dxa"/>
            <w:noWrap w:val="0"/>
            <w:vAlign w:val="center"/>
          </w:tcPr>
          <w:p>
            <w:pPr>
              <w:spacing w:line="320" w:lineRule="exact"/>
              <w:jc w:val="center"/>
              <w:rPr>
                <w:rFonts w:hint="default" w:ascii="Times New Roman" w:hAnsi="Times New Roman" w:eastAsia="仿宋_GB2312" w:cs="Times New Roman"/>
                <w:b w:val="0"/>
                <w:bCs/>
                <w:color w:val="auto"/>
                <w:sz w:val="24"/>
                <w:szCs w:val="24"/>
                <w:highlight w:val="none"/>
                <w:lang w:val="en-US"/>
              </w:rPr>
            </w:pPr>
            <w:r>
              <w:rPr>
                <w:rFonts w:hint="default" w:ascii="Times New Roman" w:hAnsi="Times New Roman" w:eastAsia="仿宋_GB2312" w:cs="Times New Roman"/>
                <w:bCs/>
                <w:color w:val="auto"/>
                <w:sz w:val="24"/>
                <w:szCs w:val="24"/>
                <w:highlight w:val="none"/>
              </w:rPr>
              <w:t>10000</w:t>
            </w:r>
          </w:p>
        </w:tc>
        <w:tc>
          <w:tcPr>
            <w:tcW w:w="2708" w:type="dxa"/>
            <w:noWrap w:val="0"/>
            <w:vAlign w:val="center"/>
          </w:tcPr>
          <w:p>
            <w:pPr>
              <w:spacing w:line="320" w:lineRule="exact"/>
              <w:jc w:val="center"/>
              <w:rPr>
                <w:rFonts w:hint="default" w:ascii="Times New Roman" w:hAnsi="Times New Roman" w:eastAsia="仿宋_GB2312" w:cs="Times New Roman"/>
                <w:b w:val="0"/>
                <w:bCs/>
                <w:color w:val="auto"/>
                <w:sz w:val="24"/>
                <w:szCs w:val="24"/>
                <w:highlight w:val="none"/>
                <w:lang w:val="en-US"/>
              </w:rPr>
            </w:pPr>
            <w:r>
              <w:rPr>
                <w:rFonts w:hint="default" w:ascii="Times New Roman" w:hAnsi="Times New Roman" w:eastAsia="仿宋_GB2312" w:cs="Times New Roman"/>
                <w:bCs/>
                <w:color w:val="auto"/>
                <w:sz w:val="24"/>
                <w:szCs w:val="24"/>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3" w:type="dxa"/>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资本公积</w:t>
            </w:r>
          </w:p>
        </w:tc>
        <w:tc>
          <w:tcPr>
            <w:tcW w:w="2549" w:type="dxa"/>
            <w:noWrap w:val="0"/>
            <w:vAlign w:val="center"/>
          </w:tcPr>
          <w:p>
            <w:pPr>
              <w:spacing w:line="320" w:lineRule="exact"/>
              <w:jc w:val="center"/>
              <w:rPr>
                <w:rFonts w:hint="default" w:ascii="Times New Roman" w:hAnsi="Times New Roman" w:eastAsia="仿宋_GB2312" w:cs="Times New Roman"/>
                <w:b w:val="0"/>
                <w:bCs/>
                <w:color w:val="auto"/>
                <w:sz w:val="24"/>
                <w:szCs w:val="24"/>
                <w:highlight w:val="none"/>
              </w:rPr>
            </w:pPr>
            <w:r>
              <w:rPr>
                <w:rFonts w:hint="default" w:ascii="Times New Roman" w:hAnsi="Times New Roman" w:eastAsia="仿宋_GB2312" w:cs="Times New Roman"/>
                <w:bCs/>
                <w:color w:val="auto"/>
                <w:sz w:val="24"/>
                <w:szCs w:val="24"/>
                <w:highlight w:val="none"/>
              </w:rPr>
              <w:t>-</w:t>
            </w:r>
          </w:p>
        </w:tc>
        <w:tc>
          <w:tcPr>
            <w:tcW w:w="2708" w:type="dxa"/>
            <w:noWrap w:val="0"/>
            <w:vAlign w:val="center"/>
          </w:tcPr>
          <w:p>
            <w:pPr>
              <w:spacing w:line="320" w:lineRule="exact"/>
              <w:jc w:val="center"/>
              <w:rPr>
                <w:rFonts w:hint="default" w:ascii="Times New Roman" w:hAnsi="Times New Roman" w:eastAsia="仿宋_GB2312" w:cs="Times New Roman"/>
                <w:b w:val="0"/>
                <w:bCs/>
                <w:color w:val="auto"/>
                <w:sz w:val="24"/>
                <w:szCs w:val="24"/>
                <w:highlight w:val="none"/>
              </w:rPr>
            </w:pPr>
            <w:r>
              <w:rPr>
                <w:rFonts w:hint="default" w:ascii="Times New Roman" w:hAnsi="Times New Roman" w:eastAsia="仿宋_GB2312" w:cs="Times New Roman"/>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3" w:type="dxa"/>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盈余公积</w:t>
            </w:r>
          </w:p>
        </w:tc>
        <w:tc>
          <w:tcPr>
            <w:tcW w:w="2549" w:type="dxa"/>
            <w:noWrap w:val="0"/>
            <w:vAlign w:val="center"/>
          </w:tcPr>
          <w:p>
            <w:pPr>
              <w:jc w:val="center"/>
              <w:rPr>
                <w:rFonts w:hint="default" w:ascii="Times New Roman" w:hAnsi="Times New Roman" w:eastAsia="仿宋_GB2312" w:cs="Times New Roman"/>
                <w:b w:val="0"/>
                <w:bCs/>
                <w:color w:val="auto"/>
                <w:sz w:val="24"/>
                <w:szCs w:val="24"/>
                <w:highlight w:val="none"/>
                <w:lang w:val="en-US"/>
              </w:rPr>
            </w:pPr>
            <w:r>
              <w:rPr>
                <w:rFonts w:hint="default" w:ascii="Times New Roman" w:hAnsi="Times New Roman" w:eastAsia="仿宋_GB2312" w:cs="Times New Roman"/>
                <w:color w:val="auto"/>
                <w:sz w:val="24"/>
                <w:szCs w:val="24"/>
                <w:highlight w:val="none"/>
                <w:lang w:val="en-US" w:eastAsia="zh-CN"/>
              </w:rPr>
              <w:t>586</w:t>
            </w:r>
          </w:p>
        </w:tc>
        <w:tc>
          <w:tcPr>
            <w:tcW w:w="2708" w:type="dxa"/>
            <w:noWrap w:val="0"/>
            <w:vAlign w:val="center"/>
          </w:tcPr>
          <w:p>
            <w:pPr>
              <w:jc w:val="center"/>
              <w:rPr>
                <w:rFonts w:hint="default" w:ascii="Times New Roman" w:hAnsi="Times New Roman" w:eastAsia="仿宋_GB2312" w:cs="Times New Roman"/>
                <w:b w:val="0"/>
                <w:bCs/>
                <w:color w:val="auto"/>
                <w:sz w:val="24"/>
                <w:szCs w:val="24"/>
                <w:highlight w:val="none"/>
                <w:lang w:val="en-US"/>
              </w:rPr>
            </w:pPr>
            <w:r>
              <w:rPr>
                <w:rFonts w:hint="default" w:ascii="Times New Roman" w:hAnsi="Times New Roman" w:eastAsia="仿宋_GB2312" w:cs="Times New Roman"/>
                <w:color w:val="auto"/>
                <w:sz w:val="24"/>
                <w:szCs w:val="24"/>
                <w:highlight w:val="none"/>
                <w:lang w:val="en-US" w:eastAsia="zh-CN"/>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3" w:type="dxa"/>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一般风险准备</w:t>
            </w:r>
          </w:p>
        </w:tc>
        <w:tc>
          <w:tcPr>
            <w:tcW w:w="2549" w:type="dxa"/>
            <w:noWrap w:val="0"/>
            <w:vAlign w:val="center"/>
          </w:tcPr>
          <w:p>
            <w:pPr>
              <w:jc w:val="center"/>
              <w:rPr>
                <w:rFonts w:hint="default" w:ascii="Times New Roman" w:hAnsi="Times New Roman" w:eastAsia="仿宋_GB2312" w:cs="Times New Roman"/>
                <w:b w:val="0"/>
                <w:bCs/>
                <w:color w:val="auto"/>
                <w:sz w:val="24"/>
                <w:szCs w:val="24"/>
                <w:highlight w:val="none"/>
                <w:lang w:val="en-US"/>
              </w:rPr>
            </w:pPr>
            <w:r>
              <w:rPr>
                <w:rFonts w:hint="default" w:ascii="Times New Roman" w:hAnsi="Times New Roman" w:eastAsia="仿宋_GB2312" w:cs="Times New Roman"/>
                <w:color w:val="auto"/>
                <w:sz w:val="24"/>
                <w:szCs w:val="24"/>
                <w:highlight w:val="none"/>
                <w:lang w:val="en-US" w:eastAsia="zh-CN"/>
              </w:rPr>
              <w:t>1452</w:t>
            </w:r>
          </w:p>
        </w:tc>
        <w:tc>
          <w:tcPr>
            <w:tcW w:w="2708" w:type="dxa"/>
            <w:noWrap w:val="0"/>
            <w:vAlign w:val="center"/>
          </w:tcPr>
          <w:p>
            <w:pPr>
              <w:jc w:val="center"/>
              <w:rPr>
                <w:rFonts w:hint="default" w:ascii="Times New Roman" w:hAnsi="Times New Roman" w:eastAsia="仿宋_GB2312" w:cs="Times New Roman"/>
                <w:b w:val="0"/>
                <w:bCs/>
                <w:color w:val="auto"/>
                <w:sz w:val="24"/>
                <w:szCs w:val="24"/>
                <w:highlight w:val="none"/>
                <w:lang w:val="en-US"/>
              </w:rPr>
            </w:pPr>
            <w:r>
              <w:rPr>
                <w:rFonts w:hint="default" w:ascii="Times New Roman" w:hAnsi="Times New Roman" w:eastAsia="仿宋_GB2312" w:cs="Times New Roman"/>
                <w:color w:val="auto"/>
                <w:sz w:val="24"/>
                <w:szCs w:val="24"/>
                <w:highlight w:val="none"/>
                <w:lang w:val="en-US" w:eastAsia="zh-CN"/>
              </w:rPr>
              <w:t>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3" w:type="dxa"/>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未分配利润</w:t>
            </w:r>
          </w:p>
        </w:tc>
        <w:tc>
          <w:tcPr>
            <w:tcW w:w="2549" w:type="dxa"/>
            <w:noWrap w:val="0"/>
            <w:vAlign w:val="center"/>
          </w:tcPr>
          <w:p>
            <w:pPr>
              <w:jc w:val="center"/>
              <w:rPr>
                <w:rFonts w:hint="default" w:ascii="Times New Roman" w:hAnsi="Times New Roman" w:eastAsia="仿宋_GB2312" w:cs="Times New Roman"/>
                <w:b w:val="0"/>
                <w:bCs/>
                <w:color w:val="auto"/>
                <w:sz w:val="24"/>
                <w:szCs w:val="24"/>
                <w:highlight w:val="none"/>
                <w:lang w:val="en-US"/>
              </w:rPr>
            </w:pPr>
            <w:r>
              <w:rPr>
                <w:rFonts w:hint="default" w:ascii="Times New Roman" w:hAnsi="Times New Roman" w:eastAsia="仿宋_GB2312" w:cs="Times New Roman"/>
                <w:color w:val="auto"/>
                <w:sz w:val="24"/>
                <w:szCs w:val="24"/>
                <w:highlight w:val="none"/>
                <w:lang w:val="en-US" w:eastAsia="zh-CN"/>
              </w:rPr>
              <w:t>1832</w:t>
            </w:r>
          </w:p>
        </w:tc>
        <w:tc>
          <w:tcPr>
            <w:tcW w:w="2708" w:type="dxa"/>
            <w:noWrap w:val="0"/>
            <w:vAlign w:val="center"/>
          </w:tcPr>
          <w:p>
            <w:pPr>
              <w:jc w:val="center"/>
              <w:rPr>
                <w:rFonts w:hint="default" w:ascii="Times New Roman" w:hAnsi="Times New Roman" w:eastAsia="仿宋_GB2312" w:cs="Times New Roman"/>
                <w:b w:val="0"/>
                <w:bCs/>
                <w:color w:val="auto"/>
                <w:sz w:val="24"/>
                <w:szCs w:val="24"/>
                <w:highlight w:val="none"/>
                <w:lang w:val="en-US"/>
              </w:rPr>
            </w:pPr>
            <w:r>
              <w:rPr>
                <w:rFonts w:hint="default" w:ascii="Times New Roman" w:hAnsi="Times New Roman" w:eastAsia="仿宋_GB2312" w:cs="Times New Roman"/>
                <w:color w:val="auto"/>
                <w:sz w:val="24"/>
                <w:szCs w:val="24"/>
                <w:highlight w:val="none"/>
                <w:lang w:val="en-US" w:eastAsia="zh-CN"/>
              </w:rPr>
              <w:t>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3" w:type="dxa"/>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股东权益合计</w:t>
            </w:r>
          </w:p>
        </w:tc>
        <w:tc>
          <w:tcPr>
            <w:tcW w:w="2549" w:type="dxa"/>
            <w:noWrap w:val="0"/>
            <w:vAlign w:val="center"/>
          </w:tcPr>
          <w:p>
            <w:pPr>
              <w:spacing w:line="320" w:lineRule="exact"/>
              <w:jc w:val="center"/>
              <w:rPr>
                <w:rFonts w:hint="default" w:ascii="Times New Roman" w:hAnsi="Times New Roman" w:eastAsia="仿宋_GB2312" w:cs="Times New Roman"/>
                <w:b w:val="0"/>
                <w:bCs/>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13870</w:t>
            </w:r>
          </w:p>
        </w:tc>
        <w:tc>
          <w:tcPr>
            <w:tcW w:w="2708" w:type="dxa"/>
            <w:noWrap w:val="0"/>
            <w:vAlign w:val="center"/>
          </w:tcPr>
          <w:p>
            <w:pPr>
              <w:spacing w:line="320" w:lineRule="exact"/>
              <w:jc w:val="center"/>
              <w:rPr>
                <w:rFonts w:hint="default" w:ascii="Times New Roman" w:hAnsi="Times New Roman" w:eastAsia="仿宋_GB2312" w:cs="Times New Roman"/>
                <w:b w:val="0"/>
                <w:bCs/>
                <w:color w:val="auto"/>
                <w:sz w:val="24"/>
                <w:szCs w:val="24"/>
                <w:highlight w:val="none"/>
                <w:lang w:val="en-US"/>
              </w:rPr>
            </w:pPr>
            <w:r>
              <w:rPr>
                <w:rFonts w:hint="default" w:ascii="Times New Roman" w:hAnsi="Times New Roman" w:eastAsia="仿宋_GB2312" w:cs="Times New Roman"/>
                <w:b/>
                <w:color w:val="auto"/>
                <w:sz w:val="24"/>
                <w:szCs w:val="24"/>
                <w:highlight w:val="none"/>
                <w:lang w:val="en-US" w:eastAsia="zh-CN"/>
              </w:rPr>
              <w:t>13381</w:t>
            </w:r>
          </w:p>
        </w:tc>
      </w:tr>
    </w:tbl>
    <w:p>
      <w:pPr>
        <w:ind w:firstLine="482" w:firstLineChars="200"/>
        <w:rPr>
          <w:rFonts w:hint="default" w:ascii="Times New Roman" w:hAnsi="Times New Roman" w:eastAsia="仿宋_GB2312" w:cs="Times New Roman"/>
          <w:b/>
          <w:color w:val="FF0000"/>
          <w:sz w:val="24"/>
          <w:szCs w:val="24"/>
          <w:highlight w:val="none"/>
          <w:lang w:eastAsia="zh-CN"/>
        </w:rPr>
      </w:pPr>
    </w:p>
    <w:p>
      <w:pPr>
        <w:ind w:firstLine="602"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sz w:val="30"/>
          <w:szCs w:val="30"/>
          <w:highlight w:val="none"/>
        </w:rPr>
        <w:t>5.2股本结构情况表</w:t>
      </w:r>
    </w:p>
    <w:p>
      <w:pPr>
        <w:ind w:firstLine="6930" w:firstLineChars="3300"/>
        <w:rPr>
          <w:rFonts w:hint="default" w:ascii="Times New Roman" w:hAnsi="Times New Roman" w:cs="Times New Roman"/>
          <w:szCs w:val="21"/>
          <w:highlight w:val="none"/>
        </w:rPr>
      </w:pPr>
      <w:r>
        <w:rPr>
          <w:rFonts w:hint="default" w:ascii="Times New Roman" w:hAnsi="Times New Roman" w:cs="Times New Roman"/>
          <w:szCs w:val="21"/>
          <w:highlight w:val="none"/>
        </w:rPr>
        <w:t>单位:万股</w:t>
      </w:r>
    </w:p>
    <w:tbl>
      <w:tblPr>
        <w:tblStyle w:val="3"/>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773"/>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8" w:type="dxa"/>
            <w:noWrap w:val="0"/>
            <w:vAlign w:val="top"/>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股东类型</w:t>
            </w:r>
          </w:p>
        </w:tc>
        <w:tc>
          <w:tcPr>
            <w:tcW w:w="2773" w:type="dxa"/>
            <w:noWrap w:val="0"/>
            <w:vAlign w:val="top"/>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股本数</w:t>
            </w:r>
          </w:p>
        </w:tc>
        <w:tc>
          <w:tcPr>
            <w:tcW w:w="2854" w:type="dxa"/>
            <w:noWrap w:val="0"/>
            <w:vAlign w:val="top"/>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占总股本比例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8"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国有股</w:t>
            </w:r>
          </w:p>
        </w:tc>
        <w:tc>
          <w:tcPr>
            <w:tcW w:w="2773" w:type="dxa"/>
            <w:noWrap w:val="0"/>
            <w:vAlign w:val="center"/>
          </w:tcPr>
          <w:p>
            <w:pPr>
              <w:jc w:val="center"/>
              <w:rPr>
                <w:rFonts w:hint="default" w:ascii="Times New Roman" w:hAnsi="Times New Roman" w:eastAsia="仿宋_GB2312" w:cs="Times New Roman"/>
                <w:bCs/>
                <w:sz w:val="24"/>
                <w:szCs w:val="24"/>
                <w:highlight w:val="none"/>
              </w:rPr>
            </w:pPr>
          </w:p>
        </w:tc>
        <w:tc>
          <w:tcPr>
            <w:tcW w:w="2854" w:type="dxa"/>
            <w:noWrap w:val="0"/>
            <w:vAlign w:val="center"/>
          </w:tcPr>
          <w:p>
            <w:pPr>
              <w:jc w:val="center"/>
              <w:rPr>
                <w:rFonts w:hint="default" w:ascii="Times New Roman" w:hAnsi="Times New Roman" w:eastAsia="仿宋_GB2312" w:cs="Times New Roman"/>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8"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法人股</w:t>
            </w:r>
          </w:p>
        </w:tc>
        <w:tc>
          <w:tcPr>
            <w:tcW w:w="2773" w:type="dxa"/>
            <w:noWrap w:val="0"/>
            <w:vAlign w:val="center"/>
          </w:tcPr>
          <w:p>
            <w:pPr>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bCs/>
                <w:sz w:val="24"/>
                <w:szCs w:val="24"/>
                <w:highlight w:val="none"/>
              </w:rPr>
              <w:t>10000</w:t>
            </w:r>
          </w:p>
        </w:tc>
        <w:tc>
          <w:tcPr>
            <w:tcW w:w="2854" w:type="dxa"/>
            <w:noWrap w:val="0"/>
            <w:vAlign w:val="center"/>
          </w:tcPr>
          <w:p>
            <w:pPr>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bCs/>
                <w:sz w:val="24"/>
                <w:szCs w:val="24"/>
                <w:highlight w:val="none"/>
                <w:lang w:val="en-US" w:eastAsia="zh-CN"/>
              </w:rPr>
              <w:t>100</w:t>
            </w:r>
            <w:r>
              <w:rPr>
                <w:rFonts w:hint="default" w:ascii="Times New Roman" w:hAnsi="Times New Roman" w:eastAsia="仿宋_GB2312" w:cs="Times New Roman"/>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8"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个人股</w:t>
            </w:r>
          </w:p>
        </w:tc>
        <w:tc>
          <w:tcPr>
            <w:tcW w:w="2773" w:type="dxa"/>
            <w:noWrap w:val="0"/>
            <w:vAlign w:val="center"/>
          </w:tcPr>
          <w:p>
            <w:pPr>
              <w:jc w:val="center"/>
              <w:rPr>
                <w:rFonts w:hint="default" w:ascii="Times New Roman" w:hAnsi="Times New Roman" w:eastAsia="仿宋_GB2312" w:cs="Times New Roman"/>
                <w:bCs/>
                <w:sz w:val="24"/>
                <w:szCs w:val="24"/>
                <w:highlight w:val="none"/>
              </w:rPr>
            </w:pPr>
          </w:p>
        </w:tc>
        <w:tc>
          <w:tcPr>
            <w:tcW w:w="2854" w:type="dxa"/>
            <w:noWrap w:val="0"/>
            <w:vAlign w:val="center"/>
          </w:tcPr>
          <w:p>
            <w:pPr>
              <w:jc w:val="center"/>
              <w:rPr>
                <w:rFonts w:hint="default" w:ascii="Times New Roman" w:hAnsi="Times New Roman" w:eastAsia="仿宋_GB2312" w:cs="Times New Roman"/>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8" w:type="dxa"/>
            <w:noWrap w:val="0"/>
            <w:vAlign w:val="top"/>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股份总数</w:t>
            </w:r>
          </w:p>
        </w:tc>
        <w:tc>
          <w:tcPr>
            <w:tcW w:w="2773" w:type="dxa"/>
            <w:noWrap w:val="0"/>
            <w:vAlign w:val="center"/>
          </w:tcPr>
          <w:p>
            <w:pPr>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bCs/>
                <w:sz w:val="24"/>
                <w:szCs w:val="24"/>
                <w:highlight w:val="none"/>
              </w:rPr>
              <w:t>10000</w:t>
            </w:r>
          </w:p>
        </w:tc>
        <w:tc>
          <w:tcPr>
            <w:tcW w:w="2854" w:type="dxa"/>
            <w:noWrap w:val="0"/>
            <w:vAlign w:val="center"/>
          </w:tcPr>
          <w:p>
            <w:pPr>
              <w:jc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bCs/>
                <w:sz w:val="24"/>
                <w:szCs w:val="24"/>
                <w:highlight w:val="none"/>
              </w:rPr>
              <w:t>100%</w:t>
            </w:r>
          </w:p>
        </w:tc>
      </w:tr>
    </w:tbl>
    <w:p>
      <w:pPr>
        <w:ind w:firstLine="352" w:firstLineChars="196"/>
        <w:rPr>
          <w:rFonts w:hint="default" w:ascii="Times New Roman" w:hAnsi="Times New Roman" w:cs="Times New Roman"/>
          <w:sz w:val="18"/>
          <w:szCs w:val="18"/>
          <w:highlight w:val="none"/>
        </w:rPr>
      </w:pPr>
    </w:p>
    <w:p>
      <w:pPr>
        <w:ind w:firstLine="602"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5.3报告期十大股东持股表</w:t>
      </w:r>
    </w:p>
    <w:p>
      <w:pPr>
        <w:ind w:firstLine="7140" w:firstLineChars="3400"/>
        <w:rPr>
          <w:rFonts w:hint="default" w:ascii="Times New Roman" w:hAnsi="Times New Roman" w:cs="Times New Roman"/>
          <w:szCs w:val="21"/>
          <w:highlight w:val="none"/>
        </w:rPr>
      </w:pPr>
      <w:r>
        <w:rPr>
          <w:rFonts w:hint="default" w:ascii="Times New Roman" w:hAnsi="Times New Roman" w:cs="Times New Roman"/>
          <w:szCs w:val="21"/>
          <w:highlight w:val="none"/>
        </w:rPr>
        <w:t>单位:万股</w:t>
      </w:r>
    </w:p>
    <w:tbl>
      <w:tblPr>
        <w:tblStyle w:val="3"/>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5"/>
        <w:gridCol w:w="1153"/>
        <w:gridCol w:w="1199"/>
        <w:gridCol w:w="136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205" w:type="dxa"/>
            <w:tcBorders>
              <w:bottom w:val="single" w:color="auto" w:sz="4" w:space="0"/>
            </w:tcBorders>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股东名称</w:t>
            </w:r>
          </w:p>
        </w:tc>
        <w:tc>
          <w:tcPr>
            <w:tcW w:w="1153" w:type="dxa"/>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202</w:t>
            </w:r>
            <w:r>
              <w:rPr>
                <w:rFonts w:hint="eastAsia" w:eastAsia="仿宋_GB2312" w:cs="Times New Roman"/>
                <w:b/>
                <w:sz w:val="24"/>
                <w:szCs w:val="24"/>
                <w:highlight w:val="none"/>
                <w:lang w:val="en-US" w:eastAsia="zh-CN"/>
              </w:rPr>
              <w:t>4</w:t>
            </w:r>
            <w:r>
              <w:rPr>
                <w:rFonts w:hint="default" w:ascii="Times New Roman" w:hAnsi="Times New Roman" w:eastAsia="仿宋_GB2312" w:cs="Times New Roman"/>
                <w:b/>
                <w:sz w:val="24"/>
                <w:szCs w:val="24"/>
                <w:highlight w:val="none"/>
              </w:rPr>
              <w:t>年末</w:t>
            </w:r>
          </w:p>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持股数</w:t>
            </w:r>
          </w:p>
        </w:tc>
        <w:tc>
          <w:tcPr>
            <w:tcW w:w="1199" w:type="dxa"/>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占总股本</w:t>
            </w:r>
          </w:p>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比例</w:t>
            </w:r>
          </w:p>
        </w:tc>
        <w:tc>
          <w:tcPr>
            <w:tcW w:w="1362" w:type="dxa"/>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202</w:t>
            </w:r>
            <w:r>
              <w:rPr>
                <w:rFonts w:hint="eastAsia" w:eastAsia="仿宋_GB2312" w:cs="Times New Roman"/>
                <w:b/>
                <w:sz w:val="24"/>
                <w:szCs w:val="24"/>
                <w:highlight w:val="none"/>
                <w:lang w:val="en-US" w:eastAsia="zh-CN"/>
              </w:rPr>
              <w:t>4</w:t>
            </w:r>
            <w:r>
              <w:rPr>
                <w:rFonts w:hint="default" w:ascii="Times New Roman" w:hAnsi="Times New Roman" w:eastAsia="仿宋_GB2312" w:cs="Times New Roman"/>
                <w:b/>
                <w:sz w:val="24"/>
                <w:szCs w:val="24"/>
                <w:highlight w:val="none"/>
              </w:rPr>
              <w:t>年初</w:t>
            </w:r>
          </w:p>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持股数</w:t>
            </w:r>
          </w:p>
        </w:tc>
        <w:tc>
          <w:tcPr>
            <w:tcW w:w="1361" w:type="dxa"/>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占总股本</w:t>
            </w:r>
          </w:p>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205" w:type="dxa"/>
            <w:noWrap w:val="0"/>
            <w:vAlign w:val="center"/>
          </w:tcPr>
          <w:p>
            <w:pPr>
              <w:widowControl/>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浙江稠州商业银行股份有限公司</w:t>
            </w:r>
          </w:p>
        </w:tc>
        <w:tc>
          <w:tcPr>
            <w:tcW w:w="1153" w:type="dxa"/>
            <w:noWrap w:val="0"/>
            <w:vAlign w:val="center"/>
          </w:tcPr>
          <w:p>
            <w:pPr>
              <w:widowControl/>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bCs/>
                <w:sz w:val="24"/>
                <w:szCs w:val="24"/>
                <w:highlight w:val="none"/>
              </w:rPr>
              <w:t>10000</w:t>
            </w:r>
          </w:p>
        </w:tc>
        <w:tc>
          <w:tcPr>
            <w:tcW w:w="1199" w:type="dxa"/>
            <w:noWrap w:val="0"/>
            <w:vAlign w:val="center"/>
          </w:tcPr>
          <w:p>
            <w:pPr>
              <w:widowControl/>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bCs/>
                <w:sz w:val="24"/>
                <w:szCs w:val="24"/>
                <w:highlight w:val="none"/>
                <w:lang w:val="en-US" w:eastAsia="zh-CN"/>
              </w:rPr>
              <w:t>100</w:t>
            </w:r>
            <w:r>
              <w:rPr>
                <w:rFonts w:hint="default" w:ascii="Times New Roman" w:hAnsi="Times New Roman" w:eastAsia="仿宋_GB2312" w:cs="Times New Roman"/>
                <w:bCs/>
                <w:sz w:val="24"/>
                <w:szCs w:val="24"/>
                <w:highlight w:val="none"/>
              </w:rPr>
              <w:t>%</w:t>
            </w:r>
          </w:p>
        </w:tc>
        <w:tc>
          <w:tcPr>
            <w:tcW w:w="1362" w:type="dxa"/>
            <w:noWrap w:val="0"/>
            <w:vAlign w:val="center"/>
          </w:tcPr>
          <w:p>
            <w:pPr>
              <w:widowControl/>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bCs/>
                <w:sz w:val="24"/>
                <w:szCs w:val="24"/>
                <w:highlight w:val="none"/>
              </w:rPr>
              <w:t>10000</w:t>
            </w:r>
          </w:p>
        </w:tc>
        <w:tc>
          <w:tcPr>
            <w:tcW w:w="1361" w:type="dxa"/>
            <w:noWrap w:val="0"/>
            <w:vAlign w:val="center"/>
          </w:tcPr>
          <w:p>
            <w:pPr>
              <w:widowControl/>
              <w:jc w:val="center"/>
              <w:textAlignment w:val="center"/>
              <w:rPr>
                <w:rFonts w:hint="default" w:ascii="Times New Roman" w:hAnsi="Times New Roman" w:eastAsia="仿宋_GB2312" w:cs="Times New Roman"/>
                <w:bCs/>
                <w:sz w:val="24"/>
                <w:szCs w:val="24"/>
                <w:highlight w:val="none"/>
              </w:rPr>
            </w:pPr>
            <w:r>
              <w:rPr>
                <w:rFonts w:hint="default" w:ascii="Times New Roman" w:hAnsi="Times New Roman" w:eastAsia="仿宋_GB2312" w:cs="Times New Roman"/>
                <w:bCs/>
                <w:sz w:val="24"/>
                <w:szCs w:val="24"/>
                <w:highlight w:val="none"/>
                <w:lang w:val="en-US" w:eastAsia="zh-CN"/>
              </w:rPr>
              <w:t>100</w:t>
            </w:r>
            <w:r>
              <w:rPr>
                <w:rFonts w:hint="default" w:ascii="Times New Roman" w:hAnsi="Times New Roman" w:eastAsia="仿宋_GB2312" w:cs="Times New Roman"/>
                <w:bCs/>
                <w:sz w:val="24"/>
                <w:szCs w:val="24"/>
                <w:highlight w:val="none"/>
              </w:rPr>
              <w:t>%</w:t>
            </w:r>
          </w:p>
        </w:tc>
      </w:tr>
    </w:tbl>
    <w:p>
      <w:pPr>
        <w:rPr>
          <w:rFonts w:hint="default" w:ascii="Times New Roman" w:hAnsi="Times New Roman" w:cs="Times New Roman"/>
          <w:b/>
          <w:szCs w:val="21"/>
          <w:highlight w:val="none"/>
        </w:rPr>
      </w:pPr>
    </w:p>
    <w:p>
      <w:pPr>
        <w:numPr>
          <w:ilvl w:val="0"/>
          <w:numId w:val="1"/>
        </w:numPr>
        <w:ind w:firstLine="602"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董事、监事、高级管理人员和员工情况</w:t>
      </w:r>
    </w:p>
    <w:p>
      <w:pPr>
        <w:numPr>
          <w:ilvl w:val="0"/>
          <w:numId w:val="0"/>
        </w:numPr>
        <w:ind w:firstLine="602"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lang w:val="en-US" w:eastAsia="zh-CN"/>
        </w:rPr>
        <w:t>6.1</w:t>
      </w:r>
      <w:r>
        <w:rPr>
          <w:rFonts w:hint="default" w:ascii="Times New Roman" w:hAnsi="Times New Roman" w:eastAsia="仿宋_GB2312" w:cs="Times New Roman"/>
          <w:b/>
          <w:sz w:val="30"/>
          <w:szCs w:val="30"/>
          <w:highlight w:val="none"/>
        </w:rPr>
        <w:t>董事、监事、高级管理人员情况</w:t>
      </w:r>
    </w:p>
    <w:tbl>
      <w:tblPr>
        <w:tblStyle w:val="3"/>
        <w:tblW w:w="830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53"/>
        <w:gridCol w:w="1318"/>
        <w:gridCol w:w="2230"/>
        <w:gridCol w:w="300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8" w:hRule="atLeast"/>
          <w:jc w:val="center"/>
        </w:trPr>
        <w:tc>
          <w:tcPr>
            <w:tcW w:w="1753" w:type="dxa"/>
            <w:vMerge w:val="restart"/>
            <w:tcBorders>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姓名</w:t>
            </w:r>
          </w:p>
        </w:tc>
        <w:tc>
          <w:tcPr>
            <w:tcW w:w="1318" w:type="dxa"/>
            <w:vMerge w:val="restart"/>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性别</w:t>
            </w:r>
          </w:p>
        </w:tc>
        <w:tc>
          <w:tcPr>
            <w:tcW w:w="2230" w:type="dxa"/>
            <w:vMerge w:val="restart"/>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出生年月</w:t>
            </w:r>
          </w:p>
        </w:tc>
        <w:tc>
          <w:tcPr>
            <w:tcW w:w="3007" w:type="dxa"/>
            <w:vMerge w:val="restart"/>
            <w:tcBorders>
              <w:left w:val="single" w:color="auto" w:sz="4" w:space="0"/>
              <w:bottom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在公司职务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3" w:hRule="atLeast"/>
          <w:jc w:val="center"/>
        </w:trPr>
        <w:tc>
          <w:tcPr>
            <w:tcW w:w="1753" w:type="dxa"/>
            <w:vMerge w:val="continue"/>
            <w:tcBorders>
              <w:top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4"/>
                <w:szCs w:val="24"/>
                <w:highlight w:val="none"/>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4"/>
                <w:szCs w:val="24"/>
                <w:highlight w:val="none"/>
              </w:rPr>
            </w:pPr>
          </w:p>
        </w:tc>
        <w:tc>
          <w:tcPr>
            <w:tcW w:w="22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4"/>
                <w:szCs w:val="24"/>
                <w:highlight w:val="none"/>
              </w:rPr>
            </w:pPr>
          </w:p>
        </w:tc>
        <w:tc>
          <w:tcPr>
            <w:tcW w:w="3007" w:type="dxa"/>
            <w:vMerge w:val="continue"/>
            <w:tcBorders>
              <w:top w:val="single" w:color="auto" w:sz="4" w:space="0"/>
              <w:left w:val="single" w:color="auto" w:sz="4" w:space="0"/>
              <w:bottom w:val="single" w:color="auto" w:sz="4" w:space="0"/>
            </w:tcBorders>
            <w:noWrap w:val="0"/>
            <w:vAlign w:val="center"/>
          </w:tcPr>
          <w:p>
            <w:pPr>
              <w:widowControl/>
              <w:jc w:val="left"/>
              <w:rPr>
                <w:rFonts w:hint="default" w:ascii="Times New Roman" w:hAnsi="Times New Roman" w:eastAsia="仿宋_GB2312" w:cs="Times New Roman"/>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8" w:hRule="atLeast"/>
          <w:jc w:val="center"/>
        </w:trPr>
        <w:tc>
          <w:tcPr>
            <w:tcW w:w="1753" w:type="dxa"/>
            <w:tcBorders>
              <w:top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金庆洪</w:t>
            </w:r>
          </w:p>
        </w:tc>
        <w:tc>
          <w:tcPr>
            <w:tcW w:w="13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男</w:t>
            </w:r>
          </w:p>
        </w:tc>
        <w:tc>
          <w:tcPr>
            <w:tcW w:w="22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1966年1月</w:t>
            </w:r>
          </w:p>
        </w:tc>
        <w:tc>
          <w:tcPr>
            <w:tcW w:w="3007" w:type="dxa"/>
            <w:tcBorders>
              <w:top w:val="nil"/>
              <w:left w:val="nil"/>
              <w:bottom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董事长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8" w:hRule="atLeast"/>
          <w:jc w:val="center"/>
        </w:trPr>
        <w:tc>
          <w:tcPr>
            <w:tcW w:w="1753" w:type="dxa"/>
            <w:tcBorders>
              <w:top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陈余娟</w:t>
            </w:r>
          </w:p>
        </w:tc>
        <w:tc>
          <w:tcPr>
            <w:tcW w:w="13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女</w:t>
            </w:r>
          </w:p>
        </w:tc>
        <w:tc>
          <w:tcPr>
            <w:tcW w:w="22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1980年8月</w:t>
            </w:r>
          </w:p>
        </w:tc>
        <w:tc>
          <w:tcPr>
            <w:tcW w:w="3007" w:type="dxa"/>
            <w:tcBorders>
              <w:top w:val="nil"/>
              <w:left w:val="nil"/>
              <w:bottom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董事、</w:t>
            </w:r>
            <w:r>
              <w:rPr>
                <w:rFonts w:hint="default" w:ascii="Times New Roman" w:hAnsi="Times New Roman" w:eastAsia="仿宋_GB2312" w:cs="Times New Roman"/>
                <w:color w:val="auto"/>
                <w:kern w:val="0"/>
                <w:sz w:val="24"/>
                <w:szCs w:val="24"/>
                <w:highlight w:val="none"/>
              </w:rPr>
              <w:t>行长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8" w:hRule="atLeast"/>
          <w:jc w:val="center"/>
        </w:trPr>
        <w:tc>
          <w:tcPr>
            <w:tcW w:w="1753" w:type="dxa"/>
            <w:tcBorders>
              <w:top w:val="nil"/>
              <w:bottom w:val="single" w:color="auto" w:sz="4" w:space="0"/>
              <w:right w:val="single" w:color="auto" w:sz="4" w:space="0"/>
            </w:tcBorders>
            <w:noWrap w:val="0"/>
            <w:vAlign w:val="center"/>
          </w:tcPr>
          <w:p>
            <w:pPr>
              <w:widowControl/>
              <w:ind w:firstLine="480" w:firstLineChars="200"/>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邓兰平</w:t>
            </w:r>
          </w:p>
        </w:tc>
        <w:tc>
          <w:tcPr>
            <w:tcW w:w="13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男</w:t>
            </w:r>
          </w:p>
        </w:tc>
        <w:tc>
          <w:tcPr>
            <w:tcW w:w="22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eastAsia" w:ascii="Times New Roman" w:hAnsi="Times New Roman" w:eastAsia="仿宋_GB2312" w:cs="Times New Roman"/>
                <w:color w:val="auto"/>
                <w:kern w:val="0"/>
                <w:sz w:val="24"/>
                <w:szCs w:val="24"/>
                <w:highlight w:val="none"/>
                <w:lang w:val="en-US" w:eastAsia="zh-CN"/>
              </w:rPr>
              <w:t>1974年9月</w:t>
            </w:r>
          </w:p>
        </w:tc>
        <w:tc>
          <w:tcPr>
            <w:tcW w:w="3007" w:type="dxa"/>
            <w:tcBorders>
              <w:top w:val="nil"/>
              <w:left w:val="nil"/>
              <w:bottom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董事、副行长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8" w:hRule="atLeast"/>
          <w:jc w:val="center"/>
        </w:trPr>
        <w:tc>
          <w:tcPr>
            <w:tcW w:w="1753" w:type="dxa"/>
            <w:tcBorders>
              <w:top w:val="nil"/>
              <w:bottom w:val="single" w:color="auto" w:sz="4" w:space="0"/>
              <w:right w:val="single" w:color="auto" w:sz="4" w:space="0"/>
            </w:tcBorders>
            <w:noWrap w:val="0"/>
            <w:vAlign w:val="center"/>
          </w:tcPr>
          <w:p>
            <w:pPr>
              <w:widowControl/>
              <w:ind w:firstLine="480" w:firstLineChars="200"/>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胡天进</w:t>
            </w:r>
          </w:p>
        </w:tc>
        <w:tc>
          <w:tcPr>
            <w:tcW w:w="13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男</w:t>
            </w:r>
          </w:p>
        </w:tc>
        <w:tc>
          <w:tcPr>
            <w:tcW w:w="22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1985年4月</w:t>
            </w:r>
          </w:p>
        </w:tc>
        <w:tc>
          <w:tcPr>
            <w:tcW w:w="3007" w:type="dxa"/>
            <w:tcBorders>
              <w:top w:val="nil"/>
              <w:left w:val="nil"/>
              <w:bottom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董事、行长助理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8" w:hRule="atLeast"/>
          <w:jc w:val="center"/>
        </w:trPr>
        <w:tc>
          <w:tcPr>
            <w:tcW w:w="1753" w:type="dxa"/>
            <w:tcBorders>
              <w:top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章宜</w:t>
            </w:r>
          </w:p>
        </w:tc>
        <w:tc>
          <w:tcPr>
            <w:tcW w:w="13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女</w:t>
            </w:r>
          </w:p>
        </w:tc>
        <w:tc>
          <w:tcPr>
            <w:tcW w:w="22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1978年11月</w:t>
            </w:r>
          </w:p>
        </w:tc>
        <w:tc>
          <w:tcPr>
            <w:tcW w:w="3007" w:type="dxa"/>
            <w:tcBorders>
              <w:top w:val="nil"/>
              <w:left w:val="nil"/>
              <w:bottom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监事长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8" w:hRule="atLeast"/>
          <w:jc w:val="center"/>
        </w:trPr>
        <w:tc>
          <w:tcPr>
            <w:tcW w:w="1753" w:type="dxa"/>
            <w:tcBorders>
              <w:top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樊国华</w:t>
            </w:r>
          </w:p>
        </w:tc>
        <w:tc>
          <w:tcPr>
            <w:tcW w:w="13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男</w:t>
            </w:r>
          </w:p>
        </w:tc>
        <w:tc>
          <w:tcPr>
            <w:tcW w:w="22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1970年3月</w:t>
            </w:r>
          </w:p>
        </w:tc>
        <w:tc>
          <w:tcPr>
            <w:tcW w:w="3007" w:type="dxa"/>
            <w:tcBorders>
              <w:top w:val="nil"/>
              <w:left w:val="nil"/>
              <w:bottom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职工监事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8" w:hRule="atLeast"/>
          <w:jc w:val="center"/>
        </w:trPr>
        <w:tc>
          <w:tcPr>
            <w:tcW w:w="1753" w:type="dxa"/>
            <w:tcBorders>
              <w:top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李思岚</w:t>
            </w:r>
          </w:p>
        </w:tc>
        <w:tc>
          <w:tcPr>
            <w:tcW w:w="13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女</w:t>
            </w:r>
          </w:p>
        </w:tc>
        <w:tc>
          <w:tcPr>
            <w:tcW w:w="22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1990年1月</w:t>
            </w:r>
          </w:p>
        </w:tc>
        <w:tc>
          <w:tcPr>
            <w:tcW w:w="3007" w:type="dxa"/>
            <w:tcBorders>
              <w:top w:val="nil"/>
              <w:left w:val="nil"/>
              <w:bottom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职工监事</w:t>
            </w:r>
          </w:p>
        </w:tc>
      </w:tr>
    </w:tbl>
    <w:p>
      <w:pPr>
        <w:keepNext w:val="0"/>
        <w:keepLines w:val="0"/>
        <w:pageBreakBefore w:val="0"/>
        <w:widowControl w:val="0"/>
        <w:numPr>
          <w:ilvl w:val="0"/>
          <w:numId w:val="0"/>
        </w:numPr>
        <w:kinsoku/>
        <w:wordWrap/>
        <w:overflowPunct/>
        <w:topLinePunct w:val="0"/>
        <w:autoSpaceDE/>
        <w:autoSpaceDN/>
        <w:bidi w:val="0"/>
        <w:spacing w:line="560" w:lineRule="exact"/>
        <w:ind w:firstLine="602" w:firstLineChars="200"/>
        <w:textAlignment w:val="auto"/>
        <w:rPr>
          <w:rFonts w:hint="default" w:ascii="仿宋_GB2312" w:hAnsi="仿宋_GB2312" w:eastAsia="仿宋_GB2312" w:cs="仿宋_GB2312"/>
          <w:b/>
          <w:sz w:val="30"/>
          <w:szCs w:val="30"/>
          <w:highlight w:val="none"/>
          <w:lang w:val="en-US" w:eastAsia="zh-CN"/>
        </w:rPr>
      </w:pPr>
      <w:r>
        <w:rPr>
          <w:rFonts w:hint="default" w:ascii="Times New Roman" w:hAnsi="Times New Roman" w:eastAsia="仿宋_GB2312" w:cs="Times New Roman"/>
          <w:b/>
          <w:sz w:val="30"/>
          <w:szCs w:val="30"/>
          <w:highlight w:val="none"/>
          <w:lang w:val="en-US" w:eastAsia="zh-CN"/>
        </w:rPr>
        <w:t>6.2董事、监事、高级管理人员</w:t>
      </w:r>
      <w:r>
        <w:rPr>
          <w:rFonts w:hint="default" w:ascii="仿宋_GB2312" w:hAnsi="仿宋_GB2312" w:eastAsia="仿宋_GB2312" w:cs="仿宋_GB2312"/>
          <w:b/>
          <w:sz w:val="30"/>
          <w:szCs w:val="30"/>
          <w:highlight w:val="none"/>
          <w:lang w:val="en-US" w:eastAsia="zh-CN"/>
        </w:rPr>
        <w:t>的主要工作经历</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bCs/>
          <w:sz w:val="28"/>
          <w:szCs w:val="28"/>
          <w:highlight w:val="none"/>
        </w:rPr>
        <w:t>（一）董事</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 w:val="0"/>
          <w:bCs w:val="0"/>
          <w:color w:val="000000"/>
          <w:sz w:val="30"/>
          <w:szCs w:val="30"/>
          <w:lang w:val="en-US" w:eastAsia="zh-CN"/>
        </w:rPr>
      </w:pPr>
      <w:r>
        <w:rPr>
          <w:rFonts w:hint="default" w:ascii="Times New Roman" w:hAnsi="Times New Roman" w:eastAsia="仿宋_GB2312" w:cs="Times New Roman"/>
          <w:bCs/>
          <w:sz w:val="30"/>
          <w:szCs w:val="30"/>
          <w:highlight w:val="none"/>
          <w:lang w:val="en-US" w:eastAsia="zh-CN"/>
        </w:rPr>
        <w:t>金庆洪</w:t>
      </w:r>
      <w:r>
        <w:rPr>
          <w:rFonts w:hint="default" w:ascii="Times New Roman" w:hAnsi="Times New Roman" w:eastAsia="仿宋_GB2312" w:cs="Times New Roman"/>
          <w:bCs/>
          <w:sz w:val="30"/>
          <w:szCs w:val="30"/>
          <w:highlight w:val="none"/>
        </w:rPr>
        <w:t>：</w:t>
      </w:r>
      <w:r>
        <w:rPr>
          <w:rFonts w:hint="default" w:ascii="Times New Roman" w:hAnsi="Times New Roman" w:eastAsia="仿宋_GB2312" w:cs="Times New Roman"/>
          <w:b w:val="0"/>
          <w:bCs w:val="0"/>
          <w:color w:val="000000"/>
          <w:sz w:val="30"/>
          <w:szCs w:val="30"/>
          <w:lang w:val="en-US" w:eastAsia="zh-CN"/>
        </w:rPr>
        <w:t>金庆洪：男，1966年01月生，中共党员，大学本科学历。</w:t>
      </w:r>
      <w:r>
        <w:rPr>
          <w:rFonts w:hint="eastAsia" w:ascii="Times New Roman" w:hAnsi="Times New Roman" w:eastAsia="仿宋_GB2312" w:cs="Times New Roman"/>
          <w:b w:val="0"/>
          <w:bCs w:val="0"/>
          <w:color w:val="000000"/>
          <w:sz w:val="30"/>
          <w:szCs w:val="30"/>
          <w:lang w:val="zh-CN" w:eastAsia="zh-CN"/>
        </w:rPr>
        <w:t>从事金融工作</w:t>
      </w:r>
      <w:r>
        <w:rPr>
          <w:rFonts w:hint="eastAsia" w:ascii="Times New Roman" w:hAnsi="Times New Roman" w:eastAsia="仿宋_GB2312" w:cs="Times New Roman"/>
          <w:b w:val="0"/>
          <w:bCs w:val="0"/>
          <w:color w:val="000000"/>
          <w:sz w:val="30"/>
          <w:szCs w:val="30"/>
          <w:lang w:val="en-US" w:eastAsia="zh-CN"/>
        </w:rPr>
        <w:t>27</w:t>
      </w:r>
      <w:r>
        <w:rPr>
          <w:rFonts w:hint="eastAsia" w:ascii="Times New Roman" w:hAnsi="Times New Roman" w:eastAsia="仿宋_GB2312" w:cs="Times New Roman"/>
          <w:b w:val="0"/>
          <w:bCs w:val="0"/>
          <w:color w:val="000000"/>
          <w:sz w:val="30"/>
          <w:szCs w:val="30"/>
          <w:lang w:val="zh-CN" w:eastAsia="zh-CN"/>
        </w:rPr>
        <w:t xml:space="preserve">年， </w:t>
      </w:r>
      <w:r>
        <w:rPr>
          <w:rFonts w:hint="eastAsia" w:ascii="Times New Roman" w:hAnsi="Times New Roman" w:eastAsia="仿宋_GB2312" w:cs="Times New Roman"/>
          <w:b w:val="0"/>
          <w:bCs w:val="0"/>
          <w:color w:val="000000"/>
          <w:sz w:val="30"/>
          <w:szCs w:val="30"/>
          <w:lang w:val="en-US" w:eastAsia="zh-CN"/>
        </w:rPr>
        <w:t>曾任兰溪市岩山中学任</w:t>
      </w:r>
      <w:r>
        <w:rPr>
          <w:rFonts w:hint="eastAsia" w:ascii="Times New Roman" w:hAnsi="Times New Roman" w:eastAsia="仿宋_GB2312" w:cs="Times New Roman"/>
          <w:b w:val="0"/>
          <w:bCs w:val="0"/>
          <w:color w:val="000000"/>
          <w:sz w:val="30"/>
          <w:szCs w:val="30"/>
          <w:lang w:val="zh-CN" w:eastAsia="zh-CN"/>
        </w:rPr>
        <w:t>数学老师</w:t>
      </w:r>
      <w:r>
        <w:rPr>
          <w:rFonts w:hint="eastAsia" w:ascii="Times New Roman" w:hAnsi="Times New Roman" w:eastAsia="仿宋_GB2312" w:cs="Times New Roman"/>
          <w:b w:val="0"/>
          <w:bCs w:val="0"/>
          <w:color w:val="000000"/>
          <w:sz w:val="30"/>
          <w:szCs w:val="30"/>
          <w:lang w:val="en-US" w:eastAsia="zh-CN"/>
        </w:rPr>
        <w:t>；</w:t>
      </w:r>
      <w:r>
        <w:rPr>
          <w:rFonts w:hint="eastAsia" w:ascii="Times New Roman" w:hAnsi="Times New Roman" w:eastAsia="仿宋_GB2312" w:cs="Times New Roman"/>
          <w:b w:val="0"/>
          <w:bCs w:val="0"/>
          <w:color w:val="000000"/>
          <w:sz w:val="30"/>
          <w:szCs w:val="30"/>
          <w:lang w:val="zh-CN" w:eastAsia="zh-CN"/>
        </w:rPr>
        <w:t>兰溪市第一中学任数学老师；</w:t>
      </w:r>
      <w:r>
        <w:rPr>
          <w:rFonts w:hint="eastAsia" w:ascii="Times New Roman" w:hAnsi="Times New Roman" w:eastAsia="仿宋_GB2312" w:cs="Times New Roman"/>
          <w:b w:val="0"/>
          <w:bCs w:val="0"/>
          <w:color w:val="000000"/>
          <w:sz w:val="30"/>
          <w:szCs w:val="30"/>
          <w:lang w:val="en-US" w:eastAsia="zh-CN"/>
        </w:rPr>
        <w:t>建行兰溪市支行先后任柜员、客户经理、延中分理处副主任（主持工作）、客户业务部副总经理、延中分理处主任、个人金融部总经理、延中支行行长；浙江兰溪越商村镇银行任副行长；浙江稠州商业银行金华分行先后从事兰溪支行副行长、行长、磐安支行行长；兰溪支行行长；现任重庆北碚稠州村镇银行担任党支部书记兼董事长。</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陈余娟</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en-US" w:eastAsia="zh-CN"/>
        </w:rPr>
        <w:t>女</w:t>
      </w:r>
      <w:r>
        <w:rPr>
          <w:rFonts w:hint="default" w:ascii="Times New Roman" w:hAnsi="Times New Roman" w:eastAsia="仿宋_GB2312" w:cs="Times New Roman"/>
          <w:sz w:val="30"/>
          <w:szCs w:val="30"/>
          <w:highlight w:val="none"/>
        </w:rPr>
        <w:t>，19</w:t>
      </w:r>
      <w:r>
        <w:rPr>
          <w:rFonts w:hint="default" w:ascii="Times New Roman" w:hAnsi="Times New Roman" w:eastAsia="仿宋_GB2312" w:cs="Times New Roman"/>
          <w:sz w:val="30"/>
          <w:szCs w:val="30"/>
          <w:highlight w:val="none"/>
          <w:lang w:val="en-US" w:eastAsia="zh-CN"/>
        </w:rPr>
        <w:t>80</w:t>
      </w:r>
      <w:r>
        <w:rPr>
          <w:rFonts w:hint="default" w:ascii="Times New Roman" w:hAnsi="Times New Roman" w:eastAsia="仿宋_GB2312" w:cs="Times New Roman"/>
          <w:sz w:val="30"/>
          <w:szCs w:val="30"/>
          <w:highlight w:val="none"/>
        </w:rPr>
        <w:t>年8月生，</w:t>
      </w:r>
      <w:r>
        <w:rPr>
          <w:rFonts w:hint="default" w:ascii="Times New Roman" w:hAnsi="Times New Roman" w:eastAsia="仿宋_GB2312" w:cs="Times New Roman"/>
          <w:sz w:val="30"/>
          <w:szCs w:val="30"/>
          <w:highlight w:val="none"/>
          <w:lang w:val="en-US" w:eastAsia="zh-CN"/>
        </w:rPr>
        <w:t>群众</w:t>
      </w:r>
      <w:r>
        <w:rPr>
          <w:rFonts w:hint="default" w:ascii="Times New Roman" w:hAnsi="Times New Roman" w:eastAsia="仿宋_GB2312" w:cs="Times New Roman"/>
          <w:sz w:val="30"/>
          <w:szCs w:val="30"/>
          <w:highlight w:val="none"/>
        </w:rPr>
        <w:t>，本科学历。从事金融工作</w:t>
      </w:r>
      <w:r>
        <w:rPr>
          <w:rFonts w:hint="default" w:ascii="Times New Roman" w:hAnsi="Times New Roman" w:eastAsia="仿宋_GB2312" w:cs="Times New Roman"/>
          <w:sz w:val="30"/>
          <w:szCs w:val="30"/>
          <w:highlight w:val="none"/>
          <w:lang w:val="en-US" w:eastAsia="zh-CN"/>
        </w:rPr>
        <w:t>24</w:t>
      </w:r>
      <w:r>
        <w:rPr>
          <w:rFonts w:hint="default" w:ascii="Times New Roman" w:hAnsi="Times New Roman" w:eastAsia="仿宋_GB2312" w:cs="Times New Roman"/>
          <w:sz w:val="30"/>
          <w:szCs w:val="30"/>
          <w:highlight w:val="none"/>
        </w:rPr>
        <w:t>年，曾任</w:t>
      </w:r>
      <w:r>
        <w:rPr>
          <w:rFonts w:hint="default" w:ascii="Times New Roman" w:hAnsi="Times New Roman" w:eastAsia="仿宋_GB2312" w:cs="Times New Roman"/>
          <w:sz w:val="30"/>
          <w:szCs w:val="30"/>
          <w:highlight w:val="none"/>
          <w:lang w:val="en-US" w:eastAsia="zh-CN"/>
        </w:rPr>
        <w:t>重庆农村商业银行忠县支行出纳、柜员、分理处主任，重庆忠县稠州村镇银行总经理、行长助理、副行长。现任重庆北碚稠州村镇银行董事、行长、</w:t>
      </w:r>
      <w:r>
        <w:rPr>
          <w:rFonts w:hint="default" w:ascii="Times New Roman" w:hAnsi="Times New Roman" w:eastAsia="仿宋_GB2312" w:cs="Times New Roman"/>
          <w:bCs/>
          <w:sz w:val="30"/>
          <w:szCs w:val="30"/>
          <w:highlight w:val="none"/>
          <w:lang w:val="en-US" w:eastAsia="zh-CN"/>
        </w:rPr>
        <w:t>工会主席</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val="en-US" w:eastAsia="zh-CN"/>
        </w:rPr>
        <w:t>邓兰平</w:t>
      </w:r>
      <w:r>
        <w:rPr>
          <w:rFonts w:hint="default" w:ascii="Times New Roman" w:hAnsi="Times New Roman" w:eastAsia="仿宋_GB2312" w:cs="Times New Roman"/>
          <w:sz w:val="30"/>
          <w:szCs w:val="30"/>
          <w:highlight w:val="none"/>
        </w:rPr>
        <w:t>：男，197</w:t>
      </w:r>
      <w:r>
        <w:rPr>
          <w:rFonts w:hint="default" w:ascii="Times New Roman" w:hAnsi="Times New Roman"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rPr>
        <w:t>年</w:t>
      </w:r>
      <w:r>
        <w:rPr>
          <w:rFonts w:hint="default" w:ascii="Times New Roman" w:hAnsi="Times New Roman" w:eastAsia="仿宋_GB2312" w:cs="Times New Roman"/>
          <w:sz w:val="30"/>
          <w:szCs w:val="30"/>
          <w:highlight w:val="none"/>
          <w:lang w:val="en-US" w:eastAsia="zh-CN"/>
        </w:rPr>
        <w:t>9</w:t>
      </w:r>
      <w:r>
        <w:rPr>
          <w:rFonts w:hint="default" w:ascii="Times New Roman" w:hAnsi="Times New Roman" w:eastAsia="仿宋_GB2312" w:cs="Times New Roman"/>
          <w:sz w:val="30"/>
          <w:szCs w:val="30"/>
          <w:highlight w:val="none"/>
        </w:rPr>
        <w:t>月生，中共党员，</w:t>
      </w:r>
      <w:r>
        <w:rPr>
          <w:rFonts w:hint="default" w:ascii="Times New Roman" w:hAnsi="Times New Roman" w:eastAsia="仿宋_GB2312" w:cs="Times New Roman"/>
          <w:sz w:val="30"/>
          <w:szCs w:val="30"/>
          <w:highlight w:val="none"/>
          <w:lang w:val="en-US" w:eastAsia="zh-CN"/>
        </w:rPr>
        <w:t>本科</w:t>
      </w:r>
      <w:r>
        <w:rPr>
          <w:rFonts w:hint="default" w:ascii="Times New Roman" w:hAnsi="Times New Roman" w:eastAsia="仿宋_GB2312" w:cs="Times New Roman"/>
          <w:sz w:val="30"/>
          <w:szCs w:val="30"/>
          <w:highlight w:val="none"/>
        </w:rPr>
        <w:t>学历。从事金融工作</w:t>
      </w:r>
      <w:r>
        <w:rPr>
          <w:rFonts w:hint="default" w:ascii="Times New Roman" w:hAnsi="Times New Roman" w:eastAsia="仿宋_GB2312" w:cs="Times New Roman"/>
          <w:sz w:val="30"/>
          <w:szCs w:val="30"/>
          <w:highlight w:val="none"/>
          <w:lang w:val="en-US" w:eastAsia="zh-CN"/>
        </w:rPr>
        <w:t>30</w:t>
      </w:r>
      <w:r>
        <w:rPr>
          <w:rFonts w:hint="default" w:ascii="Times New Roman" w:hAnsi="Times New Roman" w:eastAsia="仿宋_GB2312" w:cs="Times New Roman"/>
          <w:sz w:val="30"/>
          <w:szCs w:val="30"/>
          <w:highlight w:val="none"/>
        </w:rPr>
        <w:t>年，曾任</w:t>
      </w:r>
      <w:r>
        <w:rPr>
          <w:rFonts w:hint="default" w:ascii="Times New Roman" w:hAnsi="Times New Roman" w:eastAsia="仿宋_GB2312" w:cs="Times New Roman"/>
          <w:sz w:val="30"/>
          <w:szCs w:val="30"/>
          <w:highlight w:val="none"/>
          <w:lang w:val="en-US" w:eastAsia="zh-CN"/>
        </w:rPr>
        <w:t>重庆农村商业银行城口支行分理处主任，中银富登村镇银行董事、行长、副行长、风险部主管。现任重庆北碚稠州村镇银行董事、副行长</w:t>
      </w:r>
      <w:r>
        <w:rPr>
          <w:rFonts w:hint="default" w:ascii="Times New Roman" w:hAnsi="Times New Roman" w:eastAsia="仿宋_GB2312" w:cs="Times New Roman"/>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胡天进</w:t>
      </w:r>
      <w:r>
        <w:rPr>
          <w:rFonts w:hint="default" w:ascii="Times New Roman" w:hAnsi="Times New Roman" w:eastAsia="仿宋_GB2312" w:cs="Times New Roman"/>
          <w:sz w:val="30"/>
          <w:szCs w:val="30"/>
          <w:highlight w:val="none"/>
        </w:rPr>
        <w:t>：男，19</w:t>
      </w:r>
      <w:r>
        <w:rPr>
          <w:rFonts w:hint="default" w:ascii="Times New Roman" w:hAnsi="Times New Roman" w:eastAsia="仿宋_GB2312" w:cs="Times New Roman"/>
          <w:sz w:val="30"/>
          <w:szCs w:val="30"/>
          <w:highlight w:val="none"/>
          <w:lang w:val="en-US" w:eastAsia="zh-CN"/>
        </w:rPr>
        <w:t>85</w:t>
      </w:r>
      <w:r>
        <w:rPr>
          <w:rFonts w:hint="default" w:ascii="Times New Roman" w:hAnsi="Times New Roman" w:eastAsia="仿宋_GB2312" w:cs="Times New Roman"/>
          <w:sz w:val="30"/>
          <w:szCs w:val="30"/>
          <w:highlight w:val="none"/>
        </w:rPr>
        <w:t>年</w:t>
      </w:r>
      <w:r>
        <w:rPr>
          <w:rFonts w:hint="default" w:ascii="Times New Roman" w:hAnsi="Times New Roman"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rPr>
        <w:t>月生，</w:t>
      </w:r>
      <w:r>
        <w:rPr>
          <w:rFonts w:hint="default" w:ascii="Times New Roman" w:hAnsi="Times New Roman" w:eastAsia="仿宋_GB2312" w:cs="Times New Roman"/>
          <w:sz w:val="30"/>
          <w:szCs w:val="30"/>
          <w:highlight w:val="none"/>
          <w:lang w:val="en-US" w:eastAsia="zh-CN"/>
        </w:rPr>
        <w:t>群众，本科</w:t>
      </w:r>
      <w:r>
        <w:rPr>
          <w:rFonts w:hint="default" w:ascii="Times New Roman" w:hAnsi="Times New Roman" w:eastAsia="仿宋_GB2312" w:cs="Times New Roman"/>
          <w:sz w:val="30"/>
          <w:szCs w:val="30"/>
          <w:highlight w:val="none"/>
        </w:rPr>
        <w:t>学历</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从事金融工作13年，曾任浙江稠州商业银行金华分行客户经理、副总经理（主持工作）、支行行长助理。现任重庆北碚稠州村镇银行董事、行长助理。</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
          <w:bCs/>
          <w:sz w:val="28"/>
          <w:szCs w:val="28"/>
          <w:highlight w:val="none"/>
        </w:rPr>
        <w:t>（二）监事</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章宜</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val="en-US" w:eastAsia="zh-CN"/>
        </w:rPr>
        <w:t>女</w:t>
      </w:r>
      <w:r>
        <w:rPr>
          <w:rFonts w:hint="default" w:ascii="Times New Roman" w:hAnsi="Times New Roman" w:eastAsia="仿宋_GB2312" w:cs="Times New Roman"/>
          <w:sz w:val="30"/>
          <w:szCs w:val="30"/>
          <w:highlight w:val="none"/>
        </w:rPr>
        <w:t>，19</w:t>
      </w:r>
      <w:r>
        <w:rPr>
          <w:rFonts w:hint="eastAsia" w:ascii="Times New Roman" w:hAnsi="Times New Roman" w:eastAsia="仿宋_GB2312" w:cs="Times New Roman"/>
          <w:sz w:val="30"/>
          <w:szCs w:val="30"/>
          <w:highlight w:val="none"/>
          <w:lang w:val="en-US" w:eastAsia="zh-CN"/>
        </w:rPr>
        <w:t>78</w:t>
      </w:r>
      <w:r>
        <w:rPr>
          <w:rFonts w:hint="default" w:ascii="Times New Roman" w:hAnsi="Times New Roman" w:eastAsia="仿宋_GB2312" w:cs="Times New Roman"/>
          <w:sz w:val="30"/>
          <w:szCs w:val="30"/>
          <w:highlight w:val="none"/>
        </w:rPr>
        <w:t>年</w:t>
      </w:r>
      <w:r>
        <w:rPr>
          <w:rFonts w:hint="eastAsia" w:ascii="Times New Roman" w:hAnsi="Times New Roman" w:eastAsia="仿宋_GB2312" w:cs="Times New Roman"/>
          <w:sz w:val="30"/>
          <w:szCs w:val="30"/>
          <w:highlight w:val="none"/>
          <w:lang w:val="en-US" w:eastAsia="zh-CN"/>
        </w:rPr>
        <w:t>11</w:t>
      </w:r>
      <w:r>
        <w:rPr>
          <w:rFonts w:hint="default" w:ascii="Times New Roman" w:hAnsi="Times New Roman" w:eastAsia="仿宋_GB2312" w:cs="Times New Roman"/>
          <w:sz w:val="30"/>
          <w:szCs w:val="30"/>
          <w:highlight w:val="none"/>
        </w:rPr>
        <w:t>月生，</w:t>
      </w:r>
      <w:r>
        <w:rPr>
          <w:rFonts w:hint="eastAsia" w:ascii="Times New Roman" w:hAnsi="Times New Roman" w:eastAsia="仿宋_GB2312" w:cs="Times New Roman"/>
          <w:sz w:val="30"/>
          <w:szCs w:val="30"/>
          <w:highlight w:val="none"/>
          <w:lang w:val="en-US" w:eastAsia="zh-CN"/>
        </w:rPr>
        <w:t>群众</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val="en-US" w:eastAsia="zh-CN"/>
        </w:rPr>
        <w:t>本科</w:t>
      </w:r>
      <w:r>
        <w:rPr>
          <w:rFonts w:hint="default" w:ascii="Times New Roman" w:hAnsi="Times New Roman" w:eastAsia="仿宋_GB2312" w:cs="Times New Roman"/>
          <w:sz w:val="30"/>
          <w:szCs w:val="30"/>
          <w:highlight w:val="none"/>
        </w:rPr>
        <w:t>学历，</w:t>
      </w:r>
      <w:r>
        <w:rPr>
          <w:rFonts w:hint="eastAsia" w:ascii="Times New Roman" w:hAnsi="Times New Roman" w:eastAsia="仿宋_GB2312" w:cs="Times New Roman"/>
          <w:sz w:val="30"/>
          <w:szCs w:val="30"/>
          <w:highlight w:val="none"/>
          <w:lang w:val="en-US" w:eastAsia="zh-CN"/>
        </w:rPr>
        <w:t>中级</w:t>
      </w:r>
      <w:r>
        <w:rPr>
          <w:rFonts w:hint="default" w:ascii="Times New Roman" w:hAnsi="Times New Roman" w:eastAsia="仿宋_GB2312" w:cs="Times New Roman"/>
          <w:sz w:val="30"/>
          <w:szCs w:val="30"/>
          <w:highlight w:val="none"/>
        </w:rPr>
        <w:t>经济师。从事金融工作</w:t>
      </w:r>
      <w:r>
        <w:rPr>
          <w:rFonts w:hint="eastAsia" w:ascii="Times New Roman" w:hAnsi="Times New Roman" w:eastAsia="仿宋_GB2312" w:cs="Times New Roman"/>
          <w:sz w:val="30"/>
          <w:szCs w:val="30"/>
          <w:highlight w:val="none"/>
          <w:lang w:val="en-US" w:eastAsia="zh-CN"/>
        </w:rPr>
        <w:t>26</w:t>
      </w:r>
      <w:r>
        <w:rPr>
          <w:rFonts w:hint="default" w:ascii="Times New Roman" w:hAnsi="Times New Roman" w:eastAsia="仿宋_GB2312" w:cs="Times New Roman"/>
          <w:sz w:val="30"/>
          <w:szCs w:val="30"/>
          <w:highlight w:val="none"/>
        </w:rPr>
        <w:t>年，曾任</w:t>
      </w:r>
      <w:r>
        <w:rPr>
          <w:rFonts w:hint="eastAsia" w:ascii="Times New Roman" w:hAnsi="Times New Roman" w:eastAsia="仿宋_GB2312" w:cs="Times New Roman"/>
          <w:sz w:val="30"/>
          <w:szCs w:val="30"/>
          <w:highlight w:val="none"/>
          <w:lang w:val="en-US" w:eastAsia="zh-CN"/>
        </w:rPr>
        <w:t>中国工商银行柜员，浙江稠州商业银行金华分行会计检辅、中心主任、营业经理、主任、总经理助理（主持工作）。现任重庆北碚稠州村镇银行监事长。</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lang w:val="en-US" w:eastAsia="zh-CN"/>
        </w:rPr>
        <w:t>樊国华</w:t>
      </w:r>
      <w:r>
        <w:rPr>
          <w:rFonts w:hint="default" w:ascii="Times New Roman" w:hAnsi="Times New Roman" w:eastAsia="仿宋_GB2312" w:cs="Times New Roman"/>
          <w:sz w:val="30"/>
          <w:szCs w:val="30"/>
          <w:highlight w:val="none"/>
        </w:rPr>
        <w:t>：男，19</w:t>
      </w:r>
      <w:r>
        <w:rPr>
          <w:rFonts w:hint="eastAsia" w:ascii="Times New Roman" w:hAnsi="Times New Roman" w:eastAsia="仿宋_GB2312" w:cs="Times New Roman"/>
          <w:sz w:val="30"/>
          <w:szCs w:val="30"/>
          <w:highlight w:val="none"/>
          <w:lang w:val="en-US" w:eastAsia="zh-CN"/>
        </w:rPr>
        <w:t>70</w:t>
      </w:r>
      <w:r>
        <w:rPr>
          <w:rFonts w:hint="default" w:ascii="Times New Roman" w:hAnsi="Times New Roman" w:eastAsia="仿宋_GB2312" w:cs="Times New Roman"/>
          <w:sz w:val="30"/>
          <w:szCs w:val="30"/>
          <w:highlight w:val="none"/>
        </w:rPr>
        <w:t>年</w:t>
      </w:r>
      <w:r>
        <w:rPr>
          <w:rFonts w:hint="eastAsia" w:ascii="Times New Roman" w:hAnsi="Times New Roman"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rPr>
        <w:t>月生，中共党员，</w:t>
      </w:r>
      <w:r>
        <w:rPr>
          <w:rFonts w:hint="eastAsia" w:ascii="Times New Roman" w:hAnsi="Times New Roman" w:eastAsia="仿宋_GB2312" w:cs="Times New Roman"/>
          <w:sz w:val="30"/>
          <w:szCs w:val="30"/>
          <w:highlight w:val="none"/>
          <w:lang w:val="en-US" w:eastAsia="zh-CN"/>
        </w:rPr>
        <w:t>本科</w:t>
      </w:r>
      <w:r>
        <w:rPr>
          <w:rFonts w:hint="default" w:ascii="Times New Roman" w:hAnsi="Times New Roman" w:eastAsia="仿宋_GB2312" w:cs="Times New Roman"/>
          <w:sz w:val="30"/>
          <w:szCs w:val="30"/>
          <w:highlight w:val="none"/>
        </w:rPr>
        <w:t>学历</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val="en-US" w:eastAsia="zh-CN"/>
        </w:rPr>
        <w:t>从事金融工作31年，曾任交通银行北碚支行客户经理，重庆北碚稠州村镇银行办公室主任、营业部总经理、普惠金融部经理。现任重庆北碚稠州村镇银行职工监事、普惠金融部经理</w:t>
      </w:r>
      <w:r>
        <w:rPr>
          <w:rFonts w:hint="default" w:ascii="Times New Roman" w:hAnsi="Times New Roman" w:eastAsia="仿宋_GB2312" w:cs="Times New Roman"/>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李思岚</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val="en-US" w:eastAsia="zh-CN"/>
        </w:rPr>
        <w:t>女</w:t>
      </w:r>
      <w:r>
        <w:rPr>
          <w:rFonts w:hint="default" w:ascii="Times New Roman" w:hAnsi="Times New Roman" w:eastAsia="仿宋_GB2312" w:cs="Times New Roman"/>
          <w:sz w:val="30"/>
          <w:szCs w:val="30"/>
          <w:highlight w:val="none"/>
        </w:rPr>
        <w:t>，19</w:t>
      </w:r>
      <w:r>
        <w:rPr>
          <w:rFonts w:hint="eastAsia" w:ascii="Times New Roman" w:hAnsi="Times New Roman" w:eastAsia="仿宋_GB2312" w:cs="Times New Roman"/>
          <w:sz w:val="30"/>
          <w:szCs w:val="30"/>
          <w:highlight w:val="none"/>
          <w:lang w:val="en-US" w:eastAsia="zh-CN"/>
        </w:rPr>
        <w:t>90</w:t>
      </w:r>
      <w:r>
        <w:rPr>
          <w:rFonts w:hint="default" w:ascii="Times New Roman" w:hAnsi="Times New Roman" w:eastAsia="仿宋_GB2312" w:cs="Times New Roman"/>
          <w:sz w:val="30"/>
          <w:szCs w:val="30"/>
          <w:highlight w:val="none"/>
        </w:rPr>
        <w:t>年</w:t>
      </w:r>
      <w:r>
        <w:rPr>
          <w:rFonts w:hint="eastAsia"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rPr>
        <w:t>月出生，本科学历。</w:t>
      </w:r>
      <w:r>
        <w:rPr>
          <w:rFonts w:hint="eastAsia" w:ascii="Times New Roman" w:hAnsi="Times New Roman" w:eastAsia="仿宋_GB2312" w:cs="Times New Roman"/>
          <w:sz w:val="30"/>
          <w:szCs w:val="30"/>
          <w:highlight w:val="none"/>
          <w:lang w:val="en-US" w:eastAsia="zh-CN"/>
        </w:rPr>
        <w:t>从事金融工作13年，曾任重庆北碚稠州村镇银行柜员、财务统计岗、财务管理岗。现任重庆北碚稠州村镇银行职工监事、财务管理岗。</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（三）高级管理人员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lang w:val="en-US" w:eastAsia="zh-CN"/>
        </w:rPr>
        <w:t>金庆洪</w:t>
      </w:r>
      <w:r>
        <w:rPr>
          <w:rFonts w:hint="default" w:ascii="Times New Roman" w:hAnsi="Times New Roman" w:eastAsia="仿宋_GB2312" w:cs="Times New Roman"/>
          <w:sz w:val="30"/>
          <w:szCs w:val="30"/>
          <w:highlight w:val="none"/>
        </w:rPr>
        <w:t>：个人简历详见本行董事简历部分。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lang w:val="en-US" w:eastAsia="zh-CN"/>
        </w:rPr>
        <w:t>陈余娟</w:t>
      </w:r>
      <w:r>
        <w:rPr>
          <w:rFonts w:hint="default" w:ascii="Times New Roman" w:hAnsi="Times New Roman" w:eastAsia="仿宋_GB2312" w:cs="Times New Roman"/>
          <w:sz w:val="30"/>
          <w:szCs w:val="30"/>
          <w:highlight w:val="none"/>
        </w:rPr>
        <w:t>：个人简历详见本行董事简历部分。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lang w:val="en-US" w:eastAsia="zh-CN"/>
        </w:rPr>
        <w:t>邓兰平：</w:t>
      </w:r>
      <w:r>
        <w:rPr>
          <w:rFonts w:hint="default" w:ascii="Times New Roman" w:hAnsi="Times New Roman" w:eastAsia="仿宋_GB2312" w:cs="Times New Roman"/>
          <w:sz w:val="30"/>
          <w:szCs w:val="30"/>
          <w:highlight w:val="none"/>
        </w:rPr>
        <w:t>个人简历详见本行董事简历部分。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lang w:val="en-US" w:eastAsia="zh-CN"/>
        </w:rPr>
        <w:t>胡天进：</w:t>
      </w:r>
      <w:r>
        <w:rPr>
          <w:rFonts w:hint="default" w:ascii="Times New Roman" w:hAnsi="Times New Roman" w:eastAsia="仿宋_GB2312" w:cs="Times New Roman"/>
          <w:sz w:val="30"/>
          <w:szCs w:val="30"/>
          <w:highlight w:val="none"/>
        </w:rPr>
        <w:t>个人简历详见本行董事简历部分。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王冬：男，1987年6月出生，本科学历。从事经济工资17年，金融工作12年，曾任重庆谛威会计师事务所审计项目经理，重庆银行贵阳分行部门主管、总经理，现任重庆北碚稠州村镇银行运营管理部总经理。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刘智明：男，1987年8月出生，专科学历。从事金融工作8年，曾任浙江稠州商业银行金华分行客户经理，重庆北碚稠州村镇银行静观支行普惠金融部经理。现任重庆北碚稠州村镇银行营业部副总经理（主持工作）。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 xml:space="preserve"> 杨彬：男，1987年12月出生，中共党员，本科学历。从事金融工作14年，曾任浙江稠州商业银行金华分行支行行长助理、副行长、小微金融部经理。现任重庆北碚稠州村镇银行蔡家支行行长。</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胡佳：男，1990年2月出生，本科学历。从事金融工作11年，曾任重庆忠县稠州村镇银行行政文秘、客户经理，重庆北碚稠州村镇银行蔡家支行普惠金融部经理、支行行长、营业部副总经理（主持工作），现任重庆北碚稠州村镇银行歇马支行行长助理（主持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黄飞：男，1986年1月出生，专科学历。从事金融工作13年，曾任重庆农村商业银行职员，重庆忠县稠州村镇银行客户经理，重庆北碚稠州村镇银行普惠金融部经理、歇马支行行长。现任重庆北碚稠州村镇银行静观支行行长。</w:t>
      </w:r>
    </w:p>
    <w:p>
      <w:pPr>
        <w:keepNext w:val="0"/>
        <w:keepLines w:val="0"/>
        <w:pageBreakBefore w:val="0"/>
        <w:widowControl w:val="0"/>
        <w:numPr>
          <w:ilvl w:val="0"/>
          <w:numId w:val="0"/>
        </w:numPr>
        <w:kinsoku/>
        <w:wordWrap/>
        <w:overflowPunct/>
        <w:topLinePunct w:val="0"/>
        <w:autoSpaceDE/>
        <w:autoSpaceDN/>
        <w:bidi w:val="0"/>
        <w:spacing w:line="560" w:lineRule="exact"/>
        <w:ind w:firstLine="602" w:firstLineChars="200"/>
        <w:textAlignment w:val="auto"/>
        <w:rPr>
          <w:rFonts w:hint="default" w:ascii="仿宋_GB2312" w:hAnsi="仿宋_GB2312" w:eastAsia="仿宋_GB2312" w:cs="仿宋_GB2312"/>
          <w:b/>
          <w:sz w:val="30"/>
          <w:szCs w:val="30"/>
          <w:highlight w:val="none"/>
          <w:lang w:val="en-US" w:eastAsia="zh-CN"/>
        </w:rPr>
      </w:pPr>
      <w:r>
        <w:rPr>
          <w:rFonts w:hint="eastAsia" w:ascii="仿宋_GB2312" w:hAnsi="仿宋_GB2312" w:eastAsia="仿宋_GB2312" w:cs="仿宋_GB2312"/>
          <w:b/>
          <w:sz w:val="30"/>
          <w:szCs w:val="30"/>
          <w:highlight w:val="none"/>
          <w:lang w:val="en-US" w:eastAsia="zh-CN"/>
        </w:rPr>
        <w:t>6.3</w:t>
      </w:r>
      <w:r>
        <w:rPr>
          <w:rFonts w:hint="default" w:ascii="仿宋_GB2312" w:hAnsi="仿宋_GB2312" w:eastAsia="仿宋_GB2312" w:cs="仿宋_GB2312"/>
          <w:b/>
          <w:sz w:val="30"/>
          <w:szCs w:val="30"/>
          <w:highlight w:val="none"/>
          <w:lang w:val="en-US" w:eastAsia="zh-CN"/>
        </w:rPr>
        <w:t>薪酬管理情况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（一）薪酬管理架构及决策程序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本公司薪酬管理组织架构包括股东</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val="en-US" w:eastAsia="zh-CN"/>
        </w:rPr>
        <w:t>100%发起行控股</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rPr>
        <w:t>、董事会、监事会及高级管理层四个层面。在决策程序方面，本公司董事、监事的薪酬标准及薪酬制度由股东决定；董事会按照国家有关法律和政策规定，负责公司薪酬管理制度和相关政策的制订，并对高级管理人员按年度进行绩效考核，决定高级管理人员薪酬标准；监事会负责监督董事、监事和高级管理人员的履职情况考核，按年度进行考核评价，并将董事及监事的考核结果向股东大会报告；高级管理层负责组织实施董事会薪酬管理方面的决议，并接受董事会管理和监事会监督。董事会下设薪酬与考核委员会，具体负责制定本公司董事及高级管理人员的考核标准并进行考核；负责制定、审查董事及高级管理人员的薪酬政策与方案，对董事会负责。</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（二）薪酬总量和结构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本公司每年根据机构规模、经营业绩等情况制定年度薪酬预算方案，年度预算总额实行严格管控，因机构或人员编制新增的，按实追加相应薪酬费用。本公司薪酬包含基础薪酬、绩效薪酬、各项福利性收入，其中，基础薪酬和绩效薪酬占比严格按指引要求执行，绩效薪酬实行平时预发，年底考核后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仿宋_GB2312" w:cs="Times New Roman"/>
          <w:b/>
          <w:kern w:val="0"/>
          <w:sz w:val="28"/>
          <w:szCs w:val="28"/>
          <w:highlight w:val="none"/>
        </w:rPr>
      </w:pPr>
      <w:r>
        <w:rPr>
          <w:rFonts w:hint="eastAsia" w:ascii="Times New Roman" w:hAnsi="Times New Roman" w:eastAsia="仿宋_GB2312" w:cs="Times New Roman"/>
          <w:b/>
          <w:kern w:val="0"/>
          <w:sz w:val="28"/>
          <w:szCs w:val="28"/>
          <w:highlight w:val="none"/>
          <w:lang w:eastAsia="zh-CN"/>
        </w:rPr>
        <w:t>（</w:t>
      </w:r>
      <w:r>
        <w:rPr>
          <w:rFonts w:hint="eastAsia" w:ascii="Times New Roman" w:hAnsi="Times New Roman" w:eastAsia="仿宋_GB2312" w:cs="Times New Roman"/>
          <w:b/>
          <w:kern w:val="0"/>
          <w:sz w:val="28"/>
          <w:szCs w:val="28"/>
          <w:highlight w:val="none"/>
          <w:lang w:val="en-US" w:eastAsia="zh-CN"/>
        </w:rPr>
        <w:t>三</w:t>
      </w:r>
      <w:r>
        <w:rPr>
          <w:rFonts w:hint="eastAsia" w:ascii="Times New Roman" w:hAnsi="Times New Roman" w:eastAsia="仿宋_GB2312" w:cs="Times New Roman"/>
          <w:b/>
          <w:kern w:val="0"/>
          <w:sz w:val="28"/>
          <w:szCs w:val="28"/>
          <w:highlight w:val="none"/>
          <w:lang w:eastAsia="zh-CN"/>
        </w:rPr>
        <w:t>）</w:t>
      </w:r>
      <w:r>
        <w:rPr>
          <w:rFonts w:hint="default" w:ascii="Times New Roman" w:hAnsi="Times New Roman" w:eastAsia="仿宋_GB2312" w:cs="Times New Roman"/>
          <w:b/>
          <w:kern w:val="0"/>
          <w:sz w:val="28"/>
          <w:szCs w:val="28"/>
          <w:highlight w:val="none"/>
        </w:rPr>
        <w:t>董事会、高级管理层及重要岗位人员薪酬信息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在本公司领取薪酬的董事、监事、高级管理人员及重要岗位管理人员共1</w:t>
      </w:r>
      <w:r>
        <w:rPr>
          <w:rFonts w:hint="eastAsia" w:ascii="Times New Roman" w:hAnsi="Times New Roman"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rPr>
        <w:t>人，</w:t>
      </w:r>
      <w:r>
        <w:rPr>
          <w:rFonts w:hint="eastAsia" w:ascii="Times New Roman" w:hAnsi="Times New Roman" w:eastAsia="仿宋_GB2312" w:cs="Times New Roman"/>
          <w:sz w:val="30"/>
          <w:szCs w:val="30"/>
          <w:highlight w:val="none"/>
          <w:lang w:val="en-US" w:eastAsia="zh-CN"/>
        </w:rPr>
        <w:t>领取的总薪酬（税前）为210.01万元，</w:t>
      </w:r>
      <w:r>
        <w:rPr>
          <w:rFonts w:hint="default" w:ascii="Times New Roman" w:hAnsi="Times New Roman" w:eastAsia="仿宋_GB2312" w:cs="Times New Roman"/>
          <w:sz w:val="30"/>
          <w:szCs w:val="30"/>
          <w:highlight w:val="none"/>
        </w:rPr>
        <w:t>股东董事、独立董事、股东监事及外部监事均不在本公司领取薪酬。董监事、高级管理人员及重要岗位管理人员年度薪酬结构分布情况如下：</w:t>
      </w:r>
    </w:p>
    <w:tbl>
      <w:tblPr>
        <w:tblStyle w:val="3"/>
        <w:tblW w:w="9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30"/>
        <w:gridCol w:w="45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4530" w:type="dxa"/>
            <w:noWrap w:val="0"/>
            <w:vAlign w:val="center"/>
          </w:tcPr>
          <w:p>
            <w:pPr>
              <w:widowControl/>
              <w:spacing w:line="320" w:lineRule="exact"/>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年度报酬总额（税前）</w:t>
            </w:r>
          </w:p>
        </w:tc>
        <w:tc>
          <w:tcPr>
            <w:tcW w:w="4530" w:type="dxa"/>
            <w:noWrap w:val="0"/>
            <w:vAlign w:val="center"/>
          </w:tcPr>
          <w:p>
            <w:pPr>
              <w:widowControl/>
              <w:spacing w:line="320" w:lineRule="exact"/>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4530" w:type="dxa"/>
            <w:noWrap w:val="0"/>
            <w:vAlign w:val="center"/>
          </w:tcPr>
          <w:p>
            <w:pPr>
              <w:widowControl/>
              <w:spacing w:line="320" w:lineRule="exact"/>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报酬数在15万元以上</w:t>
            </w:r>
          </w:p>
        </w:tc>
        <w:tc>
          <w:tcPr>
            <w:tcW w:w="4530" w:type="dxa"/>
            <w:noWrap w:val="0"/>
            <w:vAlign w:val="center"/>
          </w:tcPr>
          <w:p>
            <w:pPr>
              <w:widowControl/>
              <w:spacing w:line="320" w:lineRule="exact"/>
              <w:jc w:val="center"/>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4530" w:type="dxa"/>
            <w:noWrap w:val="0"/>
            <w:vAlign w:val="center"/>
          </w:tcPr>
          <w:p>
            <w:pPr>
              <w:widowControl/>
              <w:spacing w:line="320" w:lineRule="exact"/>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报酬数在10万元至15万元（含）</w:t>
            </w:r>
          </w:p>
        </w:tc>
        <w:tc>
          <w:tcPr>
            <w:tcW w:w="4530" w:type="dxa"/>
            <w:noWrap w:val="0"/>
            <w:vAlign w:val="center"/>
          </w:tcPr>
          <w:p>
            <w:pPr>
              <w:widowControl/>
              <w:spacing w:line="320" w:lineRule="exact"/>
              <w:jc w:val="center"/>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4530" w:type="dxa"/>
            <w:noWrap w:val="0"/>
            <w:vAlign w:val="center"/>
          </w:tcPr>
          <w:p>
            <w:pPr>
              <w:widowControl/>
              <w:spacing w:line="320" w:lineRule="exact"/>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报酬数在10万元（含）以下</w:t>
            </w:r>
          </w:p>
        </w:tc>
        <w:tc>
          <w:tcPr>
            <w:tcW w:w="4530" w:type="dxa"/>
            <w:noWrap w:val="0"/>
            <w:vAlign w:val="center"/>
          </w:tcPr>
          <w:p>
            <w:pPr>
              <w:widowControl/>
              <w:spacing w:line="320" w:lineRule="exact"/>
              <w:jc w:val="center"/>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w:t>
      </w:r>
      <w:r>
        <w:rPr>
          <w:rFonts w:hint="default" w:ascii="Times New Roman" w:hAnsi="Times New Roman" w:eastAsia="仿宋_GB2312" w:cs="Times New Roman"/>
          <w:b/>
          <w:kern w:val="0"/>
          <w:sz w:val="28"/>
          <w:szCs w:val="28"/>
          <w:highlight w:val="none"/>
          <w:lang w:val="en-US" w:eastAsia="zh-CN"/>
        </w:rPr>
        <w:t>四</w:t>
      </w:r>
      <w:r>
        <w:rPr>
          <w:rFonts w:hint="default" w:ascii="Times New Roman" w:hAnsi="Times New Roman" w:eastAsia="仿宋_GB2312" w:cs="Times New Roman"/>
          <w:b/>
          <w:kern w:val="0"/>
          <w:sz w:val="28"/>
          <w:szCs w:val="28"/>
          <w:highlight w:val="none"/>
        </w:rPr>
        <w:t>）薪酬延期支付情况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本公司对高级管理人员以及对风险有重要影响岗位上的员工进行绩效薪酬延期支付，延期支付比例与业务分管、管理职级、风险影响程度等因素挂钩，最高达到50%比例。期限为三年，在延期支付时段中遵循等分原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w:t>
      </w:r>
      <w:r>
        <w:rPr>
          <w:rFonts w:hint="default" w:ascii="Times New Roman" w:hAnsi="Times New Roman" w:eastAsia="仿宋_GB2312" w:cs="Times New Roman"/>
          <w:b/>
          <w:kern w:val="0"/>
          <w:sz w:val="28"/>
          <w:szCs w:val="28"/>
          <w:highlight w:val="none"/>
          <w:lang w:val="en-US" w:eastAsia="zh-CN"/>
        </w:rPr>
        <w:t>五</w:t>
      </w:r>
      <w:r>
        <w:rPr>
          <w:rFonts w:hint="default" w:ascii="Times New Roman" w:hAnsi="Times New Roman" w:eastAsia="仿宋_GB2312" w:cs="Times New Roman"/>
          <w:b/>
          <w:kern w:val="0"/>
          <w:sz w:val="28"/>
          <w:szCs w:val="28"/>
          <w:highlight w:val="none"/>
        </w:rPr>
        <w:t>）薪酬与业绩衡量、风险调整的标准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绩效薪酬部分与年度考核结果挂钩，年度考核内容遵循“银行业金融机构绩效考评监管指引”执行，基本涵盖合规经营类、风险管理类、经营效益类、创新发展类和社会责任类等指标。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kern w:val="0"/>
          <w:sz w:val="28"/>
          <w:szCs w:val="28"/>
          <w:highlight w:val="none"/>
        </w:rPr>
      </w:pPr>
      <w:r>
        <w:rPr>
          <w:rFonts w:hint="default" w:ascii="Times New Roman" w:hAnsi="Times New Roman" w:eastAsia="仿宋_GB2312" w:cs="Times New Roman"/>
          <w:b/>
          <w:kern w:val="0"/>
          <w:sz w:val="28"/>
          <w:szCs w:val="28"/>
          <w:highlight w:val="none"/>
        </w:rPr>
        <w:t>（</w:t>
      </w:r>
      <w:r>
        <w:rPr>
          <w:rFonts w:hint="default" w:ascii="Times New Roman" w:hAnsi="Times New Roman" w:eastAsia="仿宋_GB2312" w:cs="Times New Roman"/>
          <w:b/>
          <w:kern w:val="0"/>
          <w:sz w:val="28"/>
          <w:szCs w:val="28"/>
          <w:highlight w:val="none"/>
          <w:lang w:val="en-US" w:eastAsia="zh-CN"/>
        </w:rPr>
        <w:t>六</w:t>
      </w:r>
      <w:r>
        <w:rPr>
          <w:rFonts w:hint="default" w:ascii="Times New Roman" w:hAnsi="Times New Roman" w:eastAsia="仿宋_GB2312" w:cs="Times New Roman"/>
          <w:b/>
          <w:kern w:val="0"/>
          <w:sz w:val="28"/>
          <w:szCs w:val="28"/>
          <w:highlight w:val="none"/>
        </w:rPr>
        <w:t>）</w:t>
      </w:r>
      <w:r>
        <w:rPr>
          <w:rFonts w:hint="default" w:ascii="Times New Roman" w:hAnsi="Times New Roman" w:eastAsia="仿宋_GB2312" w:cs="Times New Roman"/>
          <w:b/>
          <w:bCs/>
          <w:kern w:val="0"/>
          <w:sz w:val="28"/>
          <w:szCs w:val="28"/>
          <w:highlight w:val="none"/>
        </w:rPr>
        <w:t>年度薪酬方案制定符合商业银行稳健薪酬监管指引要求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本公司积极履行社会责任，参与社会公益、教育助学、卫生医疗、节能环保、扶贫济困、养老帮扶、志愿服务等公益慈善事业，鼓励员工积极参与机构或其他社会组织开展的环境和社会公益活动，并明确将社会责任内容纳入年度考核指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w:t>
      </w:r>
      <w:r>
        <w:rPr>
          <w:rFonts w:hint="default" w:ascii="Times New Roman" w:hAnsi="Times New Roman" w:eastAsia="仿宋_GB2312" w:cs="Times New Roman"/>
          <w:b/>
          <w:kern w:val="0"/>
          <w:sz w:val="28"/>
          <w:szCs w:val="28"/>
          <w:highlight w:val="none"/>
          <w:lang w:val="en-US" w:eastAsia="zh-CN"/>
        </w:rPr>
        <w:t>七</w:t>
      </w:r>
      <w:r>
        <w:rPr>
          <w:rFonts w:hint="default" w:ascii="Times New Roman" w:hAnsi="Times New Roman" w:eastAsia="仿宋_GB2312" w:cs="Times New Roman"/>
          <w:b/>
          <w:kern w:val="0"/>
          <w:sz w:val="28"/>
          <w:szCs w:val="28"/>
          <w:highlight w:val="none"/>
        </w:rPr>
        <w:t>）超出原定薪酬方案的例外情况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报告期内，本公司无超出原定薪酬方案的例外情况</w:t>
      </w:r>
      <w:r>
        <w:rPr>
          <w:rFonts w:hint="default" w:ascii="Times New Roman" w:hAnsi="Times New Roman" w:eastAsia="仿宋_GB2312" w:cs="Times New Roman"/>
          <w:sz w:val="30"/>
          <w:szCs w:val="3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黑体" w:cs="Times New Roman"/>
          <w:b/>
          <w:sz w:val="30"/>
          <w:szCs w:val="30"/>
          <w:highlight w:val="none"/>
        </w:rPr>
      </w:pPr>
      <w:r>
        <w:rPr>
          <w:rFonts w:hint="eastAsia" w:ascii="Times New Roman" w:hAnsi="Times New Roman" w:eastAsia="黑体" w:cs="Times New Roman"/>
          <w:b/>
          <w:sz w:val="30"/>
          <w:szCs w:val="30"/>
          <w:highlight w:val="none"/>
          <w:lang w:val="en-US" w:eastAsia="zh-CN"/>
        </w:rPr>
        <w:t>6.4</w:t>
      </w:r>
      <w:r>
        <w:rPr>
          <w:rFonts w:hint="default" w:ascii="仿宋_GB2312" w:hAnsi="仿宋_GB2312" w:eastAsia="仿宋_GB2312" w:cs="仿宋_GB2312"/>
          <w:b/>
          <w:sz w:val="30"/>
          <w:szCs w:val="30"/>
          <w:highlight w:val="none"/>
          <w:lang w:val="en-US" w:eastAsia="zh-CN"/>
        </w:rPr>
        <w:t>员工情况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本公司秉承“为员工创造未来”的理念，坚持“以人为本”，努力为员工创造和谐融洽的成长环境、提供全方位的培训机会和多元化的发展平台，实现员工与企业的共同发展。报告期末，公司（含并表子公司）员工共计</w:t>
      </w:r>
      <w:r>
        <w:rPr>
          <w:rFonts w:hint="eastAsia" w:ascii="Times New Roman" w:hAnsi="Times New Roman" w:eastAsia="仿宋_GB2312" w:cs="Times New Roman"/>
          <w:sz w:val="30"/>
          <w:szCs w:val="30"/>
          <w:highlight w:val="none"/>
          <w:lang w:val="en-US" w:eastAsia="zh-CN"/>
        </w:rPr>
        <w:t>97</w:t>
      </w:r>
      <w:r>
        <w:rPr>
          <w:rFonts w:hint="default" w:ascii="Times New Roman" w:hAnsi="Times New Roman" w:eastAsia="仿宋_GB2312" w:cs="Times New Roman"/>
          <w:sz w:val="30"/>
          <w:szCs w:val="30"/>
          <w:highlight w:val="none"/>
        </w:rPr>
        <w:t>人，较年初增加</w:t>
      </w:r>
      <w:r>
        <w:rPr>
          <w:rFonts w:hint="eastAsia" w:ascii="Times New Roman" w:hAnsi="Times New Roman" w:eastAsia="仿宋_GB2312" w:cs="Times New Roman"/>
          <w:sz w:val="30"/>
          <w:szCs w:val="30"/>
          <w:highlight w:val="none"/>
          <w:lang w:val="en-US" w:eastAsia="zh-CN"/>
        </w:rPr>
        <w:t>17</w:t>
      </w:r>
      <w:r>
        <w:rPr>
          <w:rFonts w:hint="default" w:ascii="Times New Roman" w:hAnsi="Times New Roman" w:eastAsia="仿宋_GB2312" w:cs="Times New Roman"/>
          <w:sz w:val="30"/>
          <w:szCs w:val="30"/>
          <w:highlight w:val="none"/>
        </w:rPr>
        <w:t>人，增幅</w:t>
      </w:r>
      <w:r>
        <w:rPr>
          <w:rFonts w:hint="eastAsia" w:ascii="Times New Roman" w:hAnsi="Times New Roman" w:eastAsia="仿宋_GB2312" w:cs="Times New Roman"/>
          <w:sz w:val="30"/>
          <w:szCs w:val="30"/>
          <w:highlight w:val="none"/>
          <w:lang w:val="en-US" w:eastAsia="zh-CN"/>
        </w:rPr>
        <w:t>21.28</w:t>
      </w:r>
      <w:r>
        <w:rPr>
          <w:rFonts w:hint="default" w:ascii="Times New Roman" w:hAnsi="Times New Roman" w:eastAsia="仿宋_GB2312" w:cs="Times New Roman"/>
          <w:sz w:val="30"/>
          <w:szCs w:val="30"/>
          <w:highlight w:val="none"/>
        </w:rPr>
        <w:t>%；按学历划分，大专及以上学历员工占比97.</w:t>
      </w:r>
      <w:r>
        <w:rPr>
          <w:rFonts w:hint="eastAsia" w:ascii="Times New Roman" w:hAnsi="Times New Roman" w:eastAsia="仿宋_GB2312" w:cs="Times New Roman"/>
          <w:sz w:val="30"/>
          <w:szCs w:val="30"/>
          <w:highlight w:val="none"/>
          <w:lang w:val="en-US" w:eastAsia="zh-CN"/>
        </w:rPr>
        <w:t>93</w:t>
      </w:r>
      <w:r>
        <w:rPr>
          <w:rFonts w:hint="default" w:ascii="Times New Roman" w:hAnsi="Times New Roman" w:eastAsia="仿宋_GB2312" w:cs="Times New Roman"/>
          <w:sz w:val="30"/>
          <w:szCs w:val="30"/>
          <w:highlight w:val="none"/>
        </w:rPr>
        <w:t>%，其中硕士研究生以上占比</w:t>
      </w:r>
      <w:r>
        <w:rPr>
          <w:rFonts w:hint="eastAsia" w:ascii="Times New Roman" w:hAnsi="Times New Roman"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val="en-US" w:eastAsia="zh-CN"/>
        </w:rPr>
        <w:t>09</w:t>
      </w:r>
      <w:r>
        <w:rPr>
          <w:rFonts w:hint="default" w:ascii="Times New Roman" w:hAnsi="Times New Roman" w:eastAsia="仿宋_GB2312" w:cs="Times New Roman"/>
          <w:sz w:val="30"/>
          <w:szCs w:val="30"/>
          <w:highlight w:val="none"/>
        </w:rPr>
        <w:t>%，本科学历占比6</w:t>
      </w:r>
      <w:r>
        <w:rPr>
          <w:rFonts w:hint="eastAsia" w:ascii="Times New Roman" w:hAnsi="Times New Roman" w:eastAsia="仿宋_GB2312" w:cs="Times New Roman"/>
          <w:sz w:val="30"/>
          <w:szCs w:val="30"/>
          <w:highlight w:val="none"/>
          <w:lang w:val="en-US" w:eastAsia="zh-CN"/>
        </w:rPr>
        <w:t>5.97</w:t>
      </w:r>
      <w:r>
        <w:rPr>
          <w:rFonts w:hint="default" w:ascii="Times New Roman" w:hAnsi="Times New Roman" w:eastAsia="仿宋_GB2312" w:cs="Times New Roman"/>
          <w:sz w:val="30"/>
          <w:szCs w:val="30"/>
          <w:highlight w:val="none"/>
        </w:rPr>
        <w:t>%。</w:t>
      </w:r>
    </w:p>
    <w:p>
      <w:pPr>
        <w:keepNext w:val="0"/>
        <w:keepLines w:val="0"/>
        <w:pageBreakBefore w:val="0"/>
        <w:widowControl w:val="0"/>
        <w:kinsoku/>
        <w:wordWrap/>
        <w:overflowPunct/>
        <w:topLinePunct w:val="0"/>
        <w:autoSpaceDE/>
        <w:autoSpaceDN/>
        <w:bidi w:val="0"/>
        <w:spacing w:line="560" w:lineRule="exact"/>
        <w:ind w:left="413"/>
        <w:textAlignment w:val="auto"/>
        <w:rPr>
          <w:rFonts w:hint="default" w:ascii="Times New Roman" w:hAnsi="Times New Roman" w:eastAsia="仿宋_GB2312" w:cs="Times New Roman"/>
          <w:b/>
          <w:color w:val="auto"/>
          <w:sz w:val="30"/>
          <w:szCs w:val="30"/>
          <w:highlight w:val="none"/>
        </w:rPr>
      </w:pPr>
      <w:r>
        <w:rPr>
          <w:rFonts w:hint="eastAsia" w:eastAsia="仿宋_GB2312" w:cs="Times New Roman"/>
          <w:b/>
          <w:color w:val="auto"/>
          <w:sz w:val="30"/>
          <w:szCs w:val="30"/>
          <w:highlight w:val="none"/>
          <w:lang w:val="en-US" w:eastAsia="zh-CN"/>
        </w:rPr>
        <w:t>6.5</w:t>
      </w:r>
      <w:r>
        <w:rPr>
          <w:rFonts w:hint="default" w:ascii="Times New Roman" w:hAnsi="Times New Roman" w:eastAsia="仿宋_GB2312" w:cs="Times New Roman"/>
          <w:b/>
          <w:color w:val="auto"/>
          <w:sz w:val="30"/>
          <w:szCs w:val="30"/>
          <w:highlight w:val="none"/>
        </w:rPr>
        <w:t>分支机构情况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报告期末，本行有营业部、</w:t>
      </w:r>
      <w:r>
        <w:rPr>
          <w:rFonts w:hint="default" w:ascii="Times New Roman" w:hAnsi="Times New Roman" w:eastAsia="仿宋_GB2312" w:cs="Times New Roman"/>
          <w:sz w:val="30"/>
          <w:szCs w:val="30"/>
          <w:highlight w:val="none"/>
          <w:lang w:val="en-US" w:eastAsia="zh-CN"/>
        </w:rPr>
        <w:t>蔡家支行</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en-US" w:eastAsia="zh-CN"/>
        </w:rPr>
        <w:t>朝阳支行、歇马支行、静观支行5</w:t>
      </w:r>
      <w:r>
        <w:rPr>
          <w:rFonts w:hint="default" w:ascii="Times New Roman" w:hAnsi="Times New Roman" w:eastAsia="仿宋_GB2312" w:cs="Times New Roman"/>
          <w:sz w:val="30"/>
          <w:szCs w:val="30"/>
          <w:highlight w:val="none"/>
        </w:rPr>
        <w:t>个网点。分支机构情况详见下表：</w:t>
      </w:r>
    </w:p>
    <w:tbl>
      <w:tblPr>
        <w:tblStyle w:val="3"/>
        <w:tblW w:w="848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7"/>
        <w:gridCol w:w="2084"/>
        <w:gridCol w:w="57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647" w:type="dxa"/>
            <w:noWrap w:val="0"/>
            <w:vAlign w:val="center"/>
          </w:tcPr>
          <w:p>
            <w:pPr>
              <w:widowControl/>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序号</w:t>
            </w:r>
          </w:p>
        </w:tc>
        <w:tc>
          <w:tcPr>
            <w:tcW w:w="2084" w:type="dxa"/>
            <w:noWrap w:val="0"/>
            <w:vAlign w:val="center"/>
          </w:tcPr>
          <w:p>
            <w:pPr>
              <w:widowControl/>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机构名称</w:t>
            </w:r>
          </w:p>
        </w:tc>
        <w:tc>
          <w:tcPr>
            <w:tcW w:w="5749" w:type="dxa"/>
            <w:noWrap w:val="0"/>
            <w:vAlign w:val="center"/>
          </w:tcPr>
          <w:p>
            <w:pPr>
              <w:widowControl/>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机构地址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647" w:type="dxa"/>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2084" w:type="dxa"/>
            <w:noWrap w:val="0"/>
            <w:vAlign w:val="center"/>
          </w:tcPr>
          <w:p>
            <w:pPr>
              <w:widowControl/>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营业部</w:t>
            </w:r>
          </w:p>
        </w:tc>
        <w:tc>
          <w:tcPr>
            <w:tcW w:w="5749" w:type="dxa"/>
            <w:noWrap w:val="0"/>
            <w:vAlign w:val="center"/>
          </w:tcPr>
          <w:p>
            <w:pPr>
              <w:widowControl/>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重庆市北碚区云华路218号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647" w:type="dxa"/>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p>
        </w:tc>
        <w:tc>
          <w:tcPr>
            <w:tcW w:w="2084" w:type="dxa"/>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蔡家支行</w:t>
            </w:r>
          </w:p>
        </w:tc>
        <w:tc>
          <w:tcPr>
            <w:tcW w:w="5749" w:type="dxa"/>
            <w:noWrap w:val="0"/>
            <w:vAlign w:val="center"/>
          </w:tcPr>
          <w:p>
            <w:pPr>
              <w:widowControl/>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lang w:val="en-US" w:eastAsia="zh-CN"/>
              </w:rPr>
              <w:t>重庆市北碚区云荟路269号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647" w:type="dxa"/>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w:t>
            </w:r>
          </w:p>
        </w:tc>
        <w:tc>
          <w:tcPr>
            <w:tcW w:w="2084" w:type="dxa"/>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朝阳支行</w:t>
            </w:r>
          </w:p>
        </w:tc>
        <w:tc>
          <w:tcPr>
            <w:tcW w:w="5749" w:type="dxa"/>
            <w:noWrap w:val="0"/>
            <w:vAlign w:val="center"/>
          </w:tcPr>
          <w:p>
            <w:pPr>
              <w:widowControl/>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lang w:val="en-US" w:eastAsia="zh-CN"/>
              </w:rPr>
              <w:t>重庆市北碚区朝阳路72号、上海路81号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647" w:type="dxa"/>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w:t>
            </w:r>
          </w:p>
        </w:tc>
        <w:tc>
          <w:tcPr>
            <w:tcW w:w="2084" w:type="dxa"/>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歇马支行</w:t>
            </w:r>
          </w:p>
        </w:tc>
        <w:tc>
          <w:tcPr>
            <w:tcW w:w="5749" w:type="dxa"/>
            <w:noWrap w:val="0"/>
            <w:vAlign w:val="center"/>
          </w:tcPr>
          <w:p>
            <w:pPr>
              <w:widowControl/>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lang w:val="en-US" w:eastAsia="zh-CN"/>
              </w:rPr>
              <w:t>重庆市北碚区歇马路9号附2号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647" w:type="dxa"/>
            <w:noWrap w:val="0"/>
            <w:vAlign w:val="center"/>
          </w:tcPr>
          <w:p>
            <w:pPr>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w:t>
            </w:r>
          </w:p>
        </w:tc>
        <w:tc>
          <w:tcPr>
            <w:tcW w:w="2084" w:type="dxa"/>
            <w:noWrap w:val="0"/>
            <w:vAlign w:val="center"/>
          </w:tcPr>
          <w:p>
            <w:pPr>
              <w:widowControl/>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静观支行</w:t>
            </w:r>
          </w:p>
        </w:tc>
        <w:tc>
          <w:tcPr>
            <w:tcW w:w="5749" w:type="dxa"/>
            <w:noWrap w:val="0"/>
            <w:vAlign w:val="center"/>
          </w:tcPr>
          <w:p>
            <w:pPr>
              <w:widowControl/>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iCs w:val="0"/>
                <w:color w:val="auto"/>
                <w:sz w:val="24"/>
                <w:szCs w:val="24"/>
                <w:highlight w:val="none"/>
                <w:u w:val="none"/>
              </w:rPr>
              <w:t>重庆北碚区静观镇花圃街12号、14号</w:t>
            </w:r>
          </w:p>
        </w:tc>
      </w:tr>
    </w:tbl>
    <w:p>
      <w:pPr>
        <w:pStyle w:val="2"/>
        <w:numPr>
          <w:ilvl w:val="0"/>
          <w:numId w:val="0"/>
        </w:numPr>
        <w:rPr>
          <w:rFonts w:hint="eastAsia"/>
          <w:highlight w:val="none"/>
        </w:rPr>
      </w:pPr>
    </w:p>
    <w:p>
      <w:pPr>
        <w:adjustRightInd w:val="0"/>
        <w:ind w:firstLine="602" w:firstLineChars="200"/>
        <w:rPr>
          <w:rFonts w:hint="default" w:ascii="Times New Roman" w:hAnsi="Times New Roman" w:eastAsia="仿宋_GB2312" w:cs="Times New Roman"/>
          <w:b/>
          <w:bCs/>
          <w:color w:val="auto"/>
          <w:sz w:val="30"/>
          <w:szCs w:val="30"/>
          <w:highlight w:val="none"/>
        </w:rPr>
      </w:pPr>
      <w:r>
        <w:rPr>
          <w:rFonts w:hint="default" w:ascii="Times New Roman" w:hAnsi="Times New Roman" w:eastAsia="仿宋_GB2312" w:cs="Times New Roman"/>
          <w:b/>
          <w:bCs/>
          <w:color w:val="auto"/>
          <w:sz w:val="30"/>
          <w:szCs w:val="30"/>
          <w:highlight w:val="none"/>
        </w:rPr>
        <w:t>7</w:t>
      </w:r>
      <w:r>
        <w:rPr>
          <w:rFonts w:hint="default" w:ascii="Times New Roman" w:hAnsi="Times New Roman" w:eastAsia="仿宋_GB2312" w:cs="Times New Roman"/>
          <w:b/>
          <w:bCs/>
          <w:color w:val="auto"/>
          <w:sz w:val="30"/>
          <w:szCs w:val="30"/>
          <w:highlight w:val="none"/>
          <w:lang w:eastAsia="zh-CN"/>
        </w:rPr>
        <w:t>、</w:t>
      </w:r>
      <w:r>
        <w:rPr>
          <w:rFonts w:hint="default" w:ascii="Times New Roman" w:hAnsi="Times New Roman" w:eastAsia="仿宋_GB2312" w:cs="Times New Roman"/>
          <w:b/>
          <w:bCs/>
          <w:color w:val="auto"/>
          <w:sz w:val="30"/>
          <w:szCs w:val="30"/>
          <w:highlight w:val="none"/>
        </w:rPr>
        <w:t>公司治理结构</w:t>
      </w:r>
    </w:p>
    <w:p>
      <w:pPr>
        <w:adjustRightInd w:val="0"/>
        <w:ind w:firstLine="590" w:firstLineChars="196"/>
        <w:rPr>
          <w:rFonts w:hint="default" w:ascii="Times New Roman" w:hAnsi="Times New Roman" w:eastAsia="仿宋_GB2312" w:cs="Times New Roman"/>
          <w:b/>
          <w:bCs/>
          <w:color w:val="auto"/>
          <w:sz w:val="30"/>
          <w:szCs w:val="30"/>
          <w:highlight w:val="none"/>
        </w:rPr>
      </w:pPr>
      <w:r>
        <w:rPr>
          <w:rFonts w:hint="default" w:ascii="Times New Roman" w:hAnsi="Times New Roman" w:eastAsia="仿宋_GB2312" w:cs="Times New Roman"/>
          <w:b/>
          <w:bCs/>
          <w:color w:val="auto"/>
          <w:sz w:val="30"/>
          <w:szCs w:val="30"/>
          <w:highlight w:val="none"/>
        </w:rPr>
        <w:t xml:space="preserve">7.1 </w:t>
      </w:r>
      <w:r>
        <w:rPr>
          <w:rFonts w:hint="default" w:ascii="Times New Roman" w:hAnsi="Times New Roman" w:eastAsia="仿宋_GB2312" w:cs="Times New Roman"/>
          <w:b/>
          <w:color w:val="auto"/>
          <w:sz w:val="30"/>
          <w:szCs w:val="30"/>
          <w:highlight w:val="none"/>
        </w:rPr>
        <w:t>公司治理情况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本公司按照《中华人民共和国公司法》（以下简称“公司法”）、《中华人民共和国商业银行法》、《商业银行公司治理指引》等法律法规的要求建立了规范的治理结构，设立了董事会及其专门委员会、监事会和经营管理层，并分别制定了相应的议事规则和权力制衡机制。报告期内，公司不断完善公司治理结构，进一步明晰公司治理各主体的职责边界，积极开展资本补充工作，保护存款人的利益，为股东赢取回报，努力建设资本充足、内控严密、运营安全、效益良好的具有核心竞争优势的现代化银行。公司治理具体情况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lang w:eastAsia="zh-CN"/>
        </w:rPr>
      </w:pPr>
      <w:r>
        <w:rPr>
          <w:rFonts w:hint="eastAsia" w:ascii="Times New Roman" w:hAnsi="Times New Roman" w:eastAsia="仿宋_GB2312" w:cs="Times New Roman"/>
          <w:sz w:val="30"/>
          <w:szCs w:val="30"/>
          <w:highlight w:val="none"/>
        </w:rPr>
        <w:t>（一）关于股东本公司具有较为合理的股权结构和运行规范制度，确保了所有股东享有平等地位并能够充分行使自己的权利。报告期末，公司股东总数</w:t>
      </w:r>
      <w:r>
        <w:rPr>
          <w:rFonts w:hint="eastAsia" w:ascii="Times New Roman" w:hAnsi="Times New Roman" w:eastAsia="仿宋_GB2312" w:cs="Times New Roman"/>
          <w:sz w:val="30"/>
          <w:szCs w:val="30"/>
          <w:highlight w:val="none"/>
          <w:lang w:val="en-US" w:eastAsia="zh-CN"/>
        </w:rPr>
        <w:t>1</w:t>
      </w:r>
      <w:r>
        <w:rPr>
          <w:rFonts w:hint="eastAsia" w:ascii="Times New Roman" w:hAnsi="Times New Roman" w:eastAsia="仿宋_GB2312" w:cs="Times New Roman"/>
          <w:sz w:val="30"/>
          <w:szCs w:val="30"/>
          <w:highlight w:val="none"/>
        </w:rPr>
        <w:t>户，其中法人股东</w:t>
      </w:r>
      <w:r>
        <w:rPr>
          <w:rFonts w:hint="eastAsia" w:ascii="Times New Roman" w:hAnsi="Times New Roman" w:eastAsia="仿宋_GB2312" w:cs="Times New Roman"/>
          <w:sz w:val="30"/>
          <w:szCs w:val="30"/>
          <w:highlight w:val="none"/>
          <w:lang w:val="en-US" w:eastAsia="zh-CN"/>
        </w:rPr>
        <w:t>1</w:t>
      </w:r>
      <w:r>
        <w:rPr>
          <w:rFonts w:hint="eastAsia" w:ascii="Times New Roman" w:hAnsi="Times New Roman" w:eastAsia="仿宋_GB2312" w:cs="Times New Roman"/>
          <w:sz w:val="30"/>
          <w:szCs w:val="30"/>
          <w:highlight w:val="none"/>
        </w:rPr>
        <w:t>户，合计持有股份</w:t>
      </w:r>
      <w:r>
        <w:rPr>
          <w:rFonts w:hint="eastAsia" w:ascii="Times New Roman" w:hAnsi="Times New Roman" w:eastAsia="仿宋_GB2312" w:cs="Times New Roman"/>
          <w:sz w:val="30"/>
          <w:szCs w:val="30"/>
          <w:highlight w:val="none"/>
          <w:lang w:val="en-US" w:eastAsia="zh-CN"/>
        </w:rPr>
        <w:t>10000</w:t>
      </w:r>
      <w:r>
        <w:rPr>
          <w:rFonts w:hint="eastAsia" w:ascii="Times New Roman" w:hAnsi="Times New Roman" w:eastAsia="仿宋_GB2312" w:cs="Times New Roman"/>
          <w:sz w:val="30"/>
          <w:szCs w:val="30"/>
          <w:highlight w:val="none"/>
        </w:rPr>
        <w:t>万股，占比</w:t>
      </w:r>
      <w:r>
        <w:rPr>
          <w:rFonts w:hint="eastAsia" w:ascii="Times New Roman" w:hAnsi="Times New Roman" w:eastAsia="仿宋_GB2312" w:cs="Times New Roman"/>
          <w:sz w:val="30"/>
          <w:szCs w:val="30"/>
          <w:highlight w:val="none"/>
          <w:lang w:val="en-US" w:eastAsia="zh-CN"/>
        </w:rPr>
        <w:t>100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 xml:space="preserve"> 本公司</w:t>
      </w:r>
      <w:r>
        <w:rPr>
          <w:rFonts w:hint="eastAsia" w:ascii="Times New Roman" w:hAnsi="Times New Roman" w:eastAsia="仿宋_GB2312" w:cs="Times New Roman"/>
          <w:sz w:val="30"/>
          <w:szCs w:val="30"/>
          <w:highlight w:val="none"/>
          <w:lang w:val="en-US" w:eastAsia="zh-CN"/>
        </w:rPr>
        <w:t>董事会和监事会</w:t>
      </w:r>
      <w:r>
        <w:rPr>
          <w:rFonts w:hint="eastAsia" w:ascii="Times New Roman" w:hAnsi="Times New Roman" w:eastAsia="仿宋_GB2312" w:cs="Times New Roman"/>
          <w:sz w:val="30"/>
          <w:szCs w:val="30"/>
          <w:highlight w:val="none"/>
        </w:rPr>
        <w:t>会议的通知、召集、召开和表决程序均严格遵照《公司法》、本公司《章程》的规定，保证股东对公司重大事项的知情权、参与权和表决权。</w:t>
      </w:r>
    </w:p>
    <w:p>
      <w:pPr>
        <w:pStyle w:val="2"/>
        <w:numPr>
          <w:ilvl w:val="0"/>
          <w:numId w:val="0"/>
        </w:numPr>
        <w:ind w:left="750" w:left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（二）股东职责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本行薪酬管理组织架构包括股东、董事会、监事会及高级管理层四个层面。在决策程序方面，</w:t>
      </w:r>
      <w:r>
        <w:rPr>
          <w:rFonts w:hint="eastAsia" w:ascii="Times New Roman" w:hAnsi="Times New Roman" w:eastAsia="仿宋_GB2312" w:cs="Times New Roman"/>
          <w:sz w:val="30"/>
          <w:szCs w:val="30"/>
          <w:highlight w:val="none"/>
          <w:lang w:val="en-US" w:eastAsia="zh-CN"/>
        </w:rPr>
        <w:t>按照《公司法》规定，股东行使选举和更换董事、监事，决定有关董事、监事的报酬事项，审议批准董事会的报告，审议批准监事会的报告，审议批准公司的利润分配方案和弥补亏损方案，对公司增加或者减少注册资本做出决议；对公司合并、分立、解散、清算或者变更公司形式做出决议，修改公司章程，公司章程规定的其他职权。</w:t>
      </w:r>
      <w:r>
        <w:rPr>
          <w:rFonts w:hint="eastAsia" w:ascii="Times New Roman" w:hAnsi="Times New Roman" w:eastAsia="仿宋_GB2312" w:cs="Times New Roman"/>
          <w:sz w:val="30"/>
          <w:szCs w:val="30"/>
          <w:highlight w:val="none"/>
        </w:rPr>
        <w:t>本行董事会按照国家有关法律和政策规定，负责公司薪酬管理制度和相关政策的制订，并对高级管理人员按年度进行绩效考核，决定高级管理人员薪酬标准；监事会负责监督董事、监事和高级管理人员的履职情况，按年度进行考核评价，并将董事及监事的考核结果向股东报告；管理层负责组织实施董事会薪酬管理方面的决议，并接受董事会管理和监事会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val="en-US" w:eastAsia="zh-CN"/>
        </w:rPr>
        <w:t>三</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val="en-US" w:eastAsia="zh-CN"/>
        </w:rPr>
        <w:t>2024年股东决定情况</w:t>
      </w:r>
    </w:p>
    <w:p>
      <w:pPr>
        <w:pStyle w:val="6"/>
        <w:keepNext w:val="0"/>
        <w:keepLines w:val="0"/>
        <w:pageBreakBefore w:val="0"/>
        <w:kinsoku/>
        <w:wordWrap/>
        <w:overflowPunct/>
        <w:topLinePunct w:val="0"/>
        <w:bidi w:val="0"/>
        <w:snapToGrid/>
        <w:spacing w:line="560" w:lineRule="exact"/>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b/>
          <w:bCs/>
          <w:color w:val="auto"/>
          <w:kern w:val="0"/>
          <w:sz w:val="30"/>
          <w:szCs w:val="30"/>
          <w:highlight w:val="none"/>
          <w:lang w:val="en-US" w:eastAsia="zh-CN"/>
        </w:rPr>
        <w:t>2024年股东决定情况：</w:t>
      </w:r>
    </w:p>
    <w:p>
      <w:pPr>
        <w:pStyle w:val="6"/>
        <w:keepNext w:val="0"/>
        <w:keepLines w:val="0"/>
        <w:pageBreakBefore w:val="0"/>
        <w:kinsoku/>
        <w:wordWrap/>
        <w:overflowPunct/>
        <w:topLinePunct w:val="0"/>
        <w:bidi w:val="0"/>
        <w:snapToGrid/>
        <w:spacing w:line="560" w:lineRule="exact"/>
        <w:rPr>
          <w:rFonts w:hint="default" w:ascii="Times New Roman" w:hAnsi="Times New Roman" w:eastAsia="仿宋_GB2312" w:cs="Times New Roman"/>
          <w:color w:val="auto"/>
          <w:kern w:val="0"/>
          <w:sz w:val="30"/>
          <w:szCs w:val="30"/>
          <w:highlight w:val="none"/>
          <w:lang w:val="en-US" w:eastAsia="zh-CN" w:bidi="ar-SA"/>
        </w:rPr>
      </w:pPr>
      <w:r>
        <w:rPr>
          <w:rFonts w:hint="default" w:ascii="Times New Roman" w:hAnsi="Times New Roman" w:eastAsia="仿宋_GB2312" w:cs="Times New Roman"/>
          <w:color w:val="auto"/>
          <w:kern w:val="0"/>
          <w:sz w:val="30"/>
          <w:szCs w:val="30"/>
          <w:highlight w:val="none"/>
          <w:lang w:val="en-US" w:eastAsia="zh-CN" w:bidi="ar-SA"/>
        </w:rPr>
        <w:t>1.根据《公司法》及《重庆北碚稠州村镇银行公司章程》，重庆北碚稠州村镇银行有限责任公司股东于2024年3月25日作出如下决定：同意《重庆北碚稠州村镇银行2023年度经营情况和2024年度工作重点的报告》、同意《重庆北碚稠州村镇银行2023年度财务决算及2024年度财务预算的报告》的议案、同意《关于重庆北碚稠州村镇银行2023年度利润分配方案》的议案、同意《关于重庆北碚稠州村镇银行2023年度高级管理层经营目标考核情况》的议案、同意《关于重庆北碚稠州村镇银行高级管理层2024年度薪酬绩效考核办法》的议案、同意《重庆北碚稠州村镇银行2023年度内部控制评价报告》的议案、同意《重庆北碚稠州村镇银行2023年度内部审计工作开展情况及2024年度内部审计工作计划报告》的议案、同意《重庆北碚稠州村镇银行2023年度资本管理及资本补充能力报告》的议案、同意《重庆北碚稠州村镇银行资本三年规划（2024-2026）》的议案、同意《关于重庆北碚稠州村镇银行2024年度业务发展规划》的议案、同意《重庆北碚稠州村镇银行监事会关于2023年度信息披露报告的审核意见》的议案、同意《重庆北碚稠州村镇银行2024年流动性风险偏好和流动性风险管理策略、政策》的议案、同意《关于聘请2024年度外部审计机构》的议案。</w:t>
      </w:r>
    </w:p>
    <w:p>
      <w:pPr>
        <w:pStyle w:val="6"/>
        <w:keepNext w:val="0"/>
        <w:keepLines w:val="0"/>
        <w:pageBreakBefore w:val="0"/>
        <w:kinsoku/>
        <w:wordWrap/>
        <w:overflowPunct/>
        <w:topLinePunct w:val="0"/>
        <w:bidi w:val="0"/>
        <w:snapToGrid/>
        <w:spacing w:line="560" w:lineRule="exact"/>
        <w:rPr>
          <w:rFonts w:hint="default" w:ascii="Times New Roman" w:hAnsi="Times New Roman" w:eastAsia="仿宋_GB2312" w:cs="Times New Roman"/>
          <w:color w:val="auto"/>
          <w:kern w:val="0"/>
          <w:sz w:val="30"/>
          <w:szCs w:val="30"/>
          <w:highlight w:val="none"/>
          <w:lang w:val="en-US" w:eastAsia="zh-CN" w:bidi="ar-SA"/>
        </w:rPr>
      </w:pPr>
      <w:r>
        <w:rPr>
          <w:rFonts w:hint="default" w:ascii="Times New Roman" w:hAnsi="Times New Roman" w:eastAsia="仿宋_GB2312" w:cs="Times New Roman"/>
          <w:color w:val="auto"/>
          <w:kern w:val="0"/>
          <w:sz w:val="30"/>
          <w:szCs w:val="30"/>
          <w:highlight w:val="none"/>
          <w:lang w:val="en-US" w:eastAsia="zh-CN" w:bidi="ar-SA"/>
        </w:rPr>
        <w:t>2.根据《公司法》及《重庆北碚稠州村镇银行公司章程》，重庆北碚稠州村镇银行有限责任公司股东于2024年6月25日作出如下决定：免去羊茂卿童事职务，委派金庆洪、陈余娟、胡天进为第二届董事会董事、法人代表变更为金庆洪、同意《关于重庆北碚稠州村镇银行 2024年度董事会对董事长授权方案》的议案、同意《关于调整董事会提名与薪酬考核委员会等5个委员会成员》的议案、同意《北碚稠州村镇银行 2024年经营目标责任制考核办法》的议案、同意《关于重新印发&lt;重庆北碚稠州村镇银行反洗钱工作规定&gt;》的议案、同意《关于重新印发＜重庆北碚稠州村镇银行洗钱和恐怖融资风险管理策略&gt;》的议案。</w:t>
      </w:r>
    </w:p>
    <w:p>
      <w:pPr>
        <w:pStyle w:val="6"/>
        <w:keepNext w:val="0"/>
        <w:keepLines w:val="0"/>
        <w:pageBreakBefore w:val="0"/>
        <w:kinsoku/>
        <w:wordWrap/>
        <w:overflowPunct/>
        <w:topLinePunct w:val="0"/>
        <w:bidi w:val="0"/>
        <w:snapToGrid/>
        <w:spacing w:line="560" w:lineRule="exact"/>
        <w:rPr>
          <w:rFonts w:hint="default" w:ascii="Times New Roman" w:hAnsi="Times New Roman" w:eastAsia="仿宋_GB2312" w:cs="Times New Roman"/>
          <w:color w:val="auto"/>
          <w:kern w:val="0"/>
          <w:sz w:val="30"/>
          <w:szCs w:val="30"/>
          <w:highlight w:val="none"/>
          <w:lang w:val="en-US" w:eastAsia="zh-CN" w:bidi="ar-SA"/>
        </w:rPr>
      </w:pPr>
      <w:r>
        <w:rPr>
          <w:rFonts w:hint="default" w:ascii="Times New Roman" w:hAnsi="Times New Roman" w:eastAsia="仿宋_GB2312" w:cs="Times New Roman"/>
          <w:color w:val="auto"/>
          <w:kern w:val="0"/>
          <w:sz w:val="30"/>
          <w:szCs w:val="30"/>
          <w:highlight w:val="none"/>
          <w:lang w:val="en-US" w:eastAsia="zh-CN" w:bidi="ar-SA"/>
        </w:rPr>
        <w:t>3.根据《公司法》和《重庆北碚稠州村镇银行公司章程》，重庆北碚稠州村镇银行有限责任公司股东于2024年8月29日作出如下决定：同意选举包庆洲、朱毅先生为重庆北碚稠州村镇银行有限责任公司董事、同意《重庆北碚稠州村镇银行2024年业务经营风险偏好策略》、同意《重庆北碚稠州村镇银行2024年半年度第三支柱报告》、同意《关于重新印发&lt;重庆北碚稠州村镇银行信息披露管理办法＞》、同意《关于重新印发&lt;重庆北碚稠州村镇银行反洗钱工作规定&gt;》、同意《关于重新印发&lt;重庆北碚稠州村镇银行声誉风险管理办法&gt;》、同意《关于重新印发&lt;重庆北碚稠州村镇银行资本管理办法&gt;》</w:t>
      </w:r>
    </w:p>
    <w:p>
      <w:pPr>
        <w:pStyle w:val="6"/>
        <w:keepNext w:val="0"/>
        <w:keepLines w:val="0"/>
        <w:pageBreakBefore w:val="0"/>
        <w:kinsoku/>
        <w:wordWrap/>
        <w:overflowPunct/>
        <w:topLinePunct w:val="0"/>
        <w:bidi w:val="0"/>
        <w:snapToGrid/>
        <w:spacing w:line="560" w:lineRule="exact"/>
        <w:rPr>
          <w:rFonts w:hint="default" w:ascii="Times New Roman" w:hAnsi="Times New Roman" w:eastAsia="仿宋_GB2312" w:cs="Times New Roman"/>
          <w:color w:val="auto"/>
          <w:kern w:val="0"/>
          <w:sz w:val="30"/>
          <w:szCs w:val="30"/>
          <w:highlight w:val="none"/>
          <w:lang w:val="en-US" w:eastAsia="zh-CN" w:bidi="ar-SA"/>
        </w:rPr>
      </w:pPr>
      <w:r>
        <w:rPr>
          <w:rFonts w:hint="default" w:ascii="Times New Roman" w:hAnsi="Times New Roman" w:eastAsia="仿宋_GB2312" w:cs="Times New Roman"/>
          <w:color w:val="auto"/>
          <w:kern w:val="0"/>
          <w:sz w:val="30"/>
          <w:szCs w:val="30"/>
          <w:highlight w:val="none"/>
          <w:lang w:val="en-US" w:eastAsia="zh-CN" w:bidi="ar-SA"/>
        </w:rPr>
        <w:t>4.根据《公司法》和《重庆北碚稠州村镇银行公司章程》，重庆北碚稠州村镇银行有限责任公司股东于2024年12月16日作出如下决定：同意《选举邓兰平先生为重庆北碚稠州村镇银行有限责任公司》董事、同意《姜蕾女士辞去重庆北碚稠州村镇银行有限责任公司监事会主席、监事》的议案、同意《选举章宜女士为重庆北碚稠州村镇银行有限责任公司》监事。</w:t>
      </w:r>
    </w:p>
    <w:p>
      <w:pPr>
        <w:pStyle w:val="6"/>
        <w:keepNext w:val="0"/>
        <w:keepLines w:val="0"/>
        <w:pageBreakBefore w:val="0"/>
        <w:kinsoku/>
        <w:wordWrap/>
        <w:overflowPunct/>
        <w:topLinePunct w:val="0"/>
        <w:bidi w:val="0"/>
        <w:snapToGrid/>
        <w:spacing w:line="560" w:lineRule="exact"/>
        <w:rPr>
          <w:rFonts w:hint="default" w:ascii="Times New Roman" w:hAnsi="Times New Roman" w:eastAsia="仿宋_GB2312" w:cs="Times New Roman"/>
          <w:color w:val="auto"/>
          <w:kern w:val="0"/>
          <w:sz w:val="30"/>
          <w:szCs w:val="30"/>
          <w:highlight w:val="none"/>
          <w:lang w:val="en-US" w:eastAsia="zh-CN" w:bidi="ar-SA"/>
        </w:rPr>
      </w:pPr>
      <w:r>
        <w:rPr>
          <w:rFonts w:hint="default" w:ascii="Times New Roman" w:hAnsi="Times New Roman" w:eastAsia="仿宋_GB2312" w:cs="Times New Roman"/>
          <w:color w:val="auto"/>
          <w:kern w:val="0"/>
          <w:sz w:val="30"/>
          <w:szCs w:val="30"/>
          <w:highlight w:val="none"/>
          <w:lang w:val="en-US" w:eastAsia="zh-CN" w:bidi="ar-SA"/>
        </w:rPr>
        <w:t>5.根据《公司法》和《重庆北碚稠州村镇银行公司章程》，重庆北碚稠州村镇银行有限责任公司股东于2024年12月16日作出如下决定：同意《选举邓兰平先生为重庆北碚稠州村镇银行有限责任公司》董事、同意《姜蕾女士辞去重庆北碚稠州村镇银行有限责任公司监事会主席、监事》的议案、同意《选举章宜女士为重庆北碚稠州村镇银行有限责任公司》监事、同意《重庆北碚稠州村镇银行有限责任公司董（监）事和高级管理人员履职问责办法》的议案。</w:t>
      </w:r>
    </w:p>
    <w:p>
      <w:pPr>
        <w:pStyle w:val="2"/>
        <w:keepNext w:val="0"/>
        <w:keepLines w:val="0"/>
        <w:pageBreakBefore w:val="0"/>
        <w:numPr>
          <w:ilvl w:val="0"/>
          <w:numId w:val="0"/>
        </w:numPr>
        <w:kinsoku/>
        <w:wordWrap/>
        <w:overflowPunct/>
        <w:topLinePunct w:val="0"/>
        <w:bidi w:val="0"/>
        <w:snapToGrid/>
        <w:spacing w:line="560" w:lineRule="exact"/>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四</w:t>
      </w:r>
      <w:r>
        <w:rPr>
          <w:rFonts w:hint="default" w:ascii="Times New Roman" w:hAnsi="Times New Roman" w:eastAsia="仿宋_GB2312" w:cs="Times New Roman"/>
          <w:color w:val="auto"/>
          <w:sz w:val="30"/>
          <w:szCs w:val="30"/>
          <w:highlight w:val="none"/>
          <w:lang w:val="en-US" w:eastAsia="zh-CN"/>
        </w:rPr>
        <w:t>）董事会职责</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color w:val="auto"/>
          <w:kern w:val="0"/>
          <w:sz w:val="30"/>
          <w:szCs w:val="30"/>
          <w:highlight w:val="none"/>
          <w:lang w:val="en-US" w:eastAsia="zh-CN"/>
        </w:rPr>
        <w:t>董事会职责：按照我行《公司章程》</w:t>
      </w:r>
      <w:r>
        <w:rPr>
          <w:rFonts w:hint="default" w:ascii="Times New Roman" w:hAnsi="Times New Roman" w:eastAsia="仿宋_GB2312" w:cs="Times New Roman"/>
          <w:sz w:val="30"/>
          <w:szCs w:val="30"/>
          <w:highlight w:val="none"/>
          <w:lang w:val="zh-CN"/>
        </w:rPr>
        <w:t>董事会行使下列职权：</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lang w:val="zh-CN"/>
        </w:rPr>
        <w:t>向股东报告工作；</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lang w:val="zh-CN"/>
        </w:rPr>
        <w:t>执行股东的决议；</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lang w:val="zh-CN"/>
        </w:rPr>
        <w:t>决定本行的经营计划和投资方案</w:t>
      </w:r>
      <w:r>
        <w:rPr>
          <w:rFonts w:hint="default" w:ascii="Times New Roman" w:hAnsi="Times New Roman" w:eastAsia="仿宋_GB2312" w:cs="Times New Roman"/>
          <w:sz w:val="30"/>
          <w:szCs w:val="30"/>
          <w:highlight w:val="none"/>
          <w:lang w:val="zh-CN" w:eastAsia="zh-CN"/>
        </w:rPr>
        <w:t>，制定本行发展战略并监督战略实施，制定本行资本规划，承担资本或偿付能力管理最终责任</w:t>
      </w:r>
      <w:r>
        <w:rPr>
          <w:rFonts w:hint="default" w:ascii="Times New Roman" w:hAnsi="Times New Roman" w:eastAsia="仿宋_GB2312" w:cs="Times New Roman"/>
          <w:sz w:val="30"/>
          <w:szCs w:val="30"/>
          <w:highlight w:val="none"/>
          <w:lang w:val="zh-CN"/>
        </w:rPr>
        <w:t>；</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lang w:val="zh-CN"/>
        </w:rPr>
        <w:t>制订本行的年度财务预算方案、决算方案、利润分配方案和弥补亏损方案；</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5.</w:t>
      </w:r>
      <w:r>
        <w:rPr>
          <w:rFonts w:hint="default" w:ascii="Times New Roman" w:hAnsi="Times New Roman" w:eastAsia="仿宋_GB2312" w:cs="Times New Roman"/>
          <w:sz w:val="30"/>
          <w:szCs w:val="30"/>
          <w:highlight w:val="none"/>
          <w:lang w:val="zh-CN"/>
        </w:rPr>
        <w:t>制订本行增加或者减少注册资本</w:t>
      </w:r>
      <w:r>
        <w:rPr>
          <w:rFonts w:hint="default" w:ascii="Times New Roman" w:hAnsi="Times New Roman" w:eastAsia="仿宋_GB2312" w:cs="Times New Roman"/>
          <w:sz w:val="30"/>
          <w:szCs w:val="30"/>
          <w:highlight w:val="none"/>
          <w:lang w:val="zh-CN" w:eastAsia="zh-CN"/>
        </w:rPr>
        <w:t>，发行债券或者其他证券及上市的</w:t>
      </w:r>
      <w:r>
        <w:rPr>
          <w:rFonts w:hint="default" w:ascii="Times New Roman" w:hAnsi="Times New Roman" w:eastAsia="仿宋_GB2312" w:cs="Times New Roman"/>
          <w:sz w:val="30"/>
          <w:szCs w:val="30"/>
          <w:highlight w:val="none"/>
          <w:lang w:val="zh-CN"/>
        </w:rPr>
        <w:t>方案；</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6.</w:t>
      </w:r>
      <w:r>
        <w:rPr>
          <w:rFonts w:hint="default" w:ascii="Times New Roman" w:hAnsi="Times New Roman" w:eastAsia="仿宋_GB2312" w:cs="Times New Roman"/>
          <w:sz w:val="30"/>
          <w:szCs w:val="30"/>
          <w:highlight w:val="none"/>
          <w:lang w:val="zh-CN"/>
        </w:rPr>
        <w:t>决定本行内部管理机构及分支机构设置；</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7.</w:t>
      </w:r>
      <w:r>
        <w:rPr>
          <w:rFonts w:hint="default" w:ascii="Times New Roman" w:hAnsi="Times New Roman" w:eastAsia="仿宋_GB2312" w:cs="Times New Roman"/>
          <w:sz w:val="30"/>
          <w:szCs w:val="30"/>
          <w:highlight w:val="none"/>
          <w:lang w:val="zh-CN"/>
        </w:rPr>
        <w:t>制订本行的基本管理制度，</w:t>
      </w:r>
      <w:r>
        <w:rPr>
          <w:rFonts w:hint="default" w:ascii="Times New Roman" w:hAnsi="Times New Roman" w:eastAsia="仿宋_GB2312" w:cs="Times New Roman"/>
          <w:sz w:val="30"/>
          <w:szCs w:val="30"/>
          <w:highlight w:val="none"/>
          <w:lang w:val="zh-CN" w:eastAsia="zh-CN"/>
        </w:rPr>
        <w:t>制定本行风险容忍度、</w:t>
      </w:r>
      <w:r>
        <w:rPr>
          <w:rFonts w:hint="default" w:ascii="Times New Roman" w:hAnsi="Times New Roman" w:eastAsia="仿宋_GB2312" w:cs="Times New Roman"/>
          <w:sz w:val="30"/>
          <w:szCs w:val="30"/>
          <w:highlight w:val="none"/>
          <w:lang w:val="zh-CN"/>
        </w:rPr>
        <w:t>风险管理和内部控制政策</w:t>
      </w:r>
      <w:r>
        <w:rPr>
          <w:rFonts w:hint="default" w:ascii="Times New Roman" w:hAnsi="Times New Roman" w:eastAsia="仿宋_GB2312" w:cs="Times New Roman"/>
          <w:sz w:val="30"/>
          <w:szCs w:val="30"/>
          <w:highlight w:val="none"/>
          <w:lang w:val="zh-CN" w:eastAsia="zh-CN"/>
        </w:rPr>
        <w:t>，承担全面风险管理的最终责任</w:t>
      </w:r>
      <w:r>
        <w:rPr>
          <w:rFonts w:hint="default" w:ascii="Times New Roman" w:hAnsi="Times New Roman" w:eastAsia="仿宋_GB2312" w:cs="Times New Roman"/>
          <w:sz w:val="30"/>
          <w:szCs w:val="30"/>
          <w:highlight w:val="none"/>
          <w:lang w:val="zh-CN"/>
        </w:rPr>
        <w:t>；</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8.</w:t>
      </w:r>
      <w:r>
        <w:rPr>
          <w:rFonts w:hint="default" w:ascii="Times New Roman" w:hAnsi="Times New Roman" w:eastAsia="仿宋_GB2312" w:cs="Times New Roman"/>
          <w:sz w:val="30"/>
          <w:szCs w:val="30"/>
          <w:highlight w:val="none"/>
          <w:lang w:val="zh-CN" w:eastAsia="zh-CN"/>
        </w:rPr>
        <w:t>制订本行重大收购、收购本行股份或者合并、分立、解散及变更公司形式的方案；</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9.</w:t>
      </w:r>
      <w:r>
        <w:rPr>
          <w:rFonts w:hint="default" w:ascii="Times New Roman" w:hAnsi="Times New Roman" w:eastAsia="仿宋_GB2312" w:cs="Times New Roman"/>
          <w:sz w:val="30"/>
          <w:szCs w:val="30"/>
          <w:highlight w:val="none"/>
          <w:lang w:val="zh-CN" w:eastAsia="zh-CN"/>
        </w:rPr>
        <w:t>按照监管规定，聘任或者解聘高级管理人员，并决定其报酬、奖惩事项，监督高级管理层履行职责</w:t>
      </w:r>
      <w:r>
        <w:rPr>
          <w:rFonts w:hint="default" w:ascii="Times New Roman" w:hAnsi="Times New Roman" w:eastAsia="仿宋_GB2312" w:cs="Times New Roman"/>
          <w:sz w:val="30"/>
          <w:szCs w:val="30"/>
          <w:highlight w:val="none"/>
          <w:lang w:val="zh-CN"/>
        </w:rPr>
        <w:t>；</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10.</w:t>
      </w:r>
      <w:r>
        <w:rPr>
          <w:rFonts w:hint="default" w:ascii="Times New Roman" w:hAnsi="Times New Roman" w:eastAsia="仿宋_GB2312" w:cs="Times New Roman"/>
          <w:sz w:val="30"/>
          <w:szCs w:val="30"/>
          <w:highlight w:val="none"/>
          <w:lang w:val="zh-CN" w:eastAsia="zh-CN"/>
        </w:rPr>
        <w:t>依照法律法规、监管规定及本行章程，审议批准本行对外投资、资产购置、资产处置与核销、资产抵押、关联交易、数据治理等事项</w:t>
      </w:r>
      <w:r>
        <w:rPr>
          <w:rFonts w:hint="default" w:ascii="Times New Roman" w:hAnsi="Times New Roman" w:eastAsia="仿宋_GB2312" w:cs="Times New Roman"/>
          <w:sz w:val="30"/>
          <w:szCs w:val="30"/>
          <w:highlight w:val="none"/>
          <w:lang w:val="zh-CN"/>
        </w:rPr>
        <w:t>；重大投资项目应当组织有关专家、专业人员进行评审，并报股东大会批准</w:t>
      </w:r>
      <w:r>
        <w:rPr>
          <w:rFonts w:hint="default" w:ascii="Times New Roman" w:hAnsi="Times New Roman" w:eastAsia="仿宋_GB2312" w:cs="Times New Roman"/>
          <w:sz w:val="30"/>
          <w:szCs w:val="30"/>
          <w:highlight w:val="none"/>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11.</w:t>
      </w:r>
      <w:r>
        <w:rPr>
          <w:rFonts w:hint="default" w:ascii="Times New Roman" w:hAnsi="Times New Roman" w:eastAsia="仿宋_GB2312" w:cs="Times New Roman"/>
          <w:sz w:val="30"/>
          <w:szCs w:val="30"/>
          <w:highlight w:val="none"/>
          <w:lang w:val="zh-CN"/>
        </w:rPr>
        <w:t>负责本行信息披露事项</w:t>
      </w:r>
      <w:r>
        <w:rPr>
          <w:rFonts w:hint="default"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en-US" w:eastAsia="zh-CN"/>
        </w:rPr>
        <w:t>并对会计和财务报告的真实性、准确性、完整性和及时性承担最终责任</w:t>
      </w:r>
      <w:r>
        <w:rPr>
          <w:rFonts w:hint="default" w:ascii="Times New Roman" w:hAnsi="Times New Roman" w:eastAsia="仿宋_GB2312" w:cs="Times New Roman"/>
          <w:sz w:val="30"/>
          <w:szCs w:val="30"/>
          <w:highlight w:val="none"/>
          <w:lang w:val="zh-CN"/>
        </w:rPr>
        <w:t>；</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12.</w:t>
      </w:r>
      <w:r>
        <w:rPr>
          <w:rFonts w:hint="default" w:ascii="Times New Roman" w:hAnsi="Times New Roman" w:eastAsia="仿宋_GB2312" w:cs="Times New Roman"/>
          <w:sz w:val="30"/>
          <w:szCs w:val="30"/>
          <w:highlight w:val="none"/>
          <w:lang w:val="zh-CN"/>
        </w:rPr>
        <w:t>定期评估并完善本行公司治理；</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13.</w:t>
      </w:r>
      <w:r>
        <w:rPr>
          <w:rFonts w:hint="default" w:ascii="Times New Roman" w:hAnsi="Times New Roman" w:eastAsia="仿宋_GB2312" w:cs="Times New Roman"/>
          <w:sz w:val="30"/>
          <w:szCs w:val="30"/>
          <w:highlight w:val="none"/>
          <w:lang w:val="zh-CN"/>
        </w:rPr>
        <w:t>制订本行章程的修改方案</w:t>
      </w:r>
      <w:r>
        <w:rPr>
          <w:rFonts w:hint="default" w:ascii="Times New Roman" w:hAnsi="Times New Roman" w:eastAsia="仿宋_GB2312" w:cs="Times New Roman"/>
          <w:sz w:val="30"/>
          <w:szCs w:val="30"/>
          <w:highlight w:val="none"/>
          <w:lang w:val="zh-CN" w:eastAsia="zh-CN"/>
        </w:rPr>
        <w:t>，制定董事会议事规则，审议批准董事会专门委员会工作规则</w:t>
      </w:r>
      <w:r>
        <w:rPr>
          <w:rFonts w:hint="default" w:ascii="Times New Roman" w:hAnsi="Times New Roman" w:eastAsia="仿宋_GB2312" w:cs="Times New Roman"/>
          <w:sz w:val="30"/>
          <w:szCs w:val="30"/>
          <w:highlight w:val="none"/>
          <w:lang w:val="zh-CN"/>
        </w:rPr>
        <w:t>；</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14.</w:t>
      </w:r>
      <w:r>
        <w:rPr>
          <w:rFonts w:hint="default" w:ascii="Times New Roman" w:hAnsi="Times New Roman" w:eastAsia="仿宋_GB2312" w:cs="Times New Roman"/>
          <w:sz w:val="30"/>
          <w:szCs w:val="30"/>
          <w:highlight w:val="none"/>
          <w:lang w:val="zh-CN" w:eastAsia="zh-CN"/>
        </w:rPr>
        <w:t>提请股东聘用或者解聘为本行财务报告进行定期法定审计的会计师事务所；</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15.</w:t>
      </w:r>
      <w:r>
        <w:rPr>
          <w:rFonts w:hint="default" w:ascii="Times New Roman" w:hAnsi="Times New Roman" w:eastAsia="仿宋_GB2312" w:cs="Times New Roman"/>
          <w:sz w:val="30"/>
          <w:szCs w:val="30"/>
          <w:highlight w:val="none"/>
          <w:lang w:val="zh-CN" w:eastAsia="zh-CN"/>
        </w:rPr>
        <w:t>维护金融消费者和其他利益相关</w:t>
      </w:r>
      <w:r>
        <w:rPr>
          <w:rFonts w:hint="default" w:ascii="Times New Roman" w:hAnsi="Times New Roman" w:eastAsia="仿宋_GB2312" w:cs="Times New Roman"/>
          <w:sz w:val="30"/>
          <w:szCs w:val="30"/>
          <w:highlight w:val="none"/>
          <w:lang w:val="en-US" w:eastAsia="zh-CN"/>
        </w:rPr>
        <w:t>者</w:t>
      </w:r>
      <w:r>
        <w:rPr>
          <w:rFonts w:hint="default" w:ascii="Times New Roman" w:hAnsi="Times New Roman" w:eastAsia="仿宋_GB2312" w:cs="Times New Roman"/>
          <w:sz w:val="30"/>
          <w:szCs w:val="30"/>
          <w:highlight w:val="none"/>
          <w:lang w:val="zh-CN" w:eastAsia="zh-CN"/>
        </w:rPr>
        <w:t>合法权益；</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16.</w:t>
      </w:r>
      <w:r>
        <w:rPr>
          <w:rFonts w:hint="default" w:ascii="Times New Roman" w:hAnsi="Times New Roman" w:eastAsia="仿宋_GB2312" w:cs="Times New Roman"/>
          <w:sz w:val="30"/>
          <w:szCs w:val="30"/>
          <w:highlight w:val="none"/>
          <w:lang w:val="zh-CN" w:eastAsia="zh-CN"/>
        </w:rPr>
        <w:t>承担股东事务的管理责任；</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17.</w:t>
      </w:r>
      <w:r>
        <w:rPr>
          <w:rFonts w:hint="default" w:ascii="Times New Roman" w:hAnsi="Times New Roman" w:eastAsia="仿宋_GB2312" w:cs="Times New Roman"/>
          <w:sz w:val="30"/>
          <w:szCs w:val="30"/>
          <w:highlight w:val="none"/>
          <w:lang w:val="zh-CN"/>
        </w:rPr>
        <w:t>决定本行超过一定金额的赞助或捐赠款项；</w:t>
      </w:r>
    </w:p>
    <w:p>
      <w:pPr>
        <w:keepNext w:val="0"/>
        <w:keepLines w:val="0"/>
        <w:pageBreakBefore w:val="0"/>
        <w:kinsoku/>
        <w:wordWrap/>
        <w:overflowPunct/>
        <w:topLinePunct w:val="0"/>
        <w:autoSpaceDE w:val="0"/>
        <w:autoSpaceDN w:val="0"/>
        <w:bidi w:val="0"/>
        <w:adjustRightInd w:val="0"/>
        <w:snapToGrid/>
        <w:spacing w:line="560" w:lineRule="exact"/>
        <w:ind w:firstLine="594" w:firstLineChars="198"/>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18.</w:t>
      </w:r>
      <w:r>
        <w:rPr>
          <w:rFonts w:hint="default" w:ascii="Times New Roman" w:hAnsi="Times New Roman" w:eastAsia="仿宋_GB2312" w:cs="Times New Roman"/>
          <w:sz w:val="30"/>
          <w:szCs w:val="30"/>
          <w:highlight w:val="none"/>
          <w:lang w:val="zh-CN"/>
        </w:rPr>
        <w:t>法律法规、</w:t>
      </w:r>
      <w:r>
        <w:rPr>
          <w:rFonts w:hint="default" w:ascii="Times New Roman" w:hAnsi="Times New Roman" w:eastAsia="仿宋_GB2312" w:cs="Times New Roman"/>
          <w:sz w:val="30"/>
          <w:szCs w:val="30"/>
          <w:highlight w:val="none"/>
          <w:lang w:val="zh-CN" w:eastAsia="zh-CN"/>
        </w:rPr>
        <w:t>监管规定</w:t>
      </w:r>
      <w:r>
        <w:rPr>
          <w:rFonts w:hint="default" w:ascii="Times New Roman" w:hAnsi="Times New Roman" w:eastAsia="仿宋_GB2312" w:cs="Times New Roman"/>
          <w:sz w:val="30"/>
          <w:szCs w:val="30"/>
          <w:highlight w:val="none"/>
          <w:lang w:val="zh-CN"/>
        </w:rPr>
        <w:t>或本行章程规定，以及股东大会授予或者监管机构要求董事会行使的其他职权。</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sz w:val="30"/>
          <w:szCs w:val="30"/>
          <w:highlight w:val="none"/>
          <w:lang w:val="zh-CN"/>
        </w:rPr>
        <w:t>（</w:t>
      </w:r>
      <w:r>
        <w:rPr>
          <w:rFonts w:hint="eastAsia" w:ascii="Times New Roman" w:hAnsi="Times New Roman" w:eastAsia="仿宋_GB2312" w:cs="Times New Roman"/>
          <w:sz w:val="30"/>
          <w:szCs w:val="30"/>
          <w:highlight w:val="none"/>
          <w:lang w:val="en-US" w:eastAsia="zh-CN"/>
        </w:rPr>
        <w:t>五</w:t>
      </w:r>
      <w:r>
        <w:rPr>
          <w:rFonts w:hint="default" w:ascii="Times New Roman" w:hAnsi="Times New Roman" w:eastAsia="仿宋_GB2312" w:cs="Times New Roman"/>
          <w:sz w:val="30"/>
          <w:szCs w:val="30"/>
          <w:highlight w:val="none"/>
          <w:lang w:val="zh-CN"/>
        </w:rPr>
        <w:t>）</w:t>
      </w:r>
      <w:r>
        <w:rPr>
          <w:rFonts w:hint="default" w:ascii="Times New Roman" w:hAnsi="Times New Roman" w:eastAsia="仿宋_GB2312" w:cs="Times New Roman"/>
          <w:b/>
          <w:sz w:val="30"/>
          <w:szCs w:val="30"/>
          <w:highlight w:val="none"/>
          <w:lang w:val="en-US" w:eastAsia="zh-CN"/>
        </w:rPr>
        <w:t>2024年召开董事会情况</w:t>
      </w:r>
      <w:r>
        <w:rPr>
          <w:rFonts w:hint="default" w:ascii="Times New Roman" w:hAnsi="Times New Roman" w:eastAsia="仿宋_GB2312" w:cs="Times New Roman"/>
          <w:color w:val="auto"/>
          <w:kern w:val="0"/>
          <w:sz w:val="30"/>
          <w:szCs w:val="30"/>
          <w:highlight w:val="none"/>
          <w:lang w:val="en-US" w:eastAsia="zh-CN"/>
        </w:rPr>
        <w:t>：2024年我行共召开4次董事会1次临时董事会，分别为2024年3月25日召开的</w:t>
      </w:r>
      <w:r>
        <w:rPr>
          <w:rFonts w:hint="default" w:ascii="Times New Roman" w:hAnsi="Times New Roman" w:eastAsia="仿宋_GB2312" w:cs="Times New Roman"/>
          <w:color w:val="auto"/>
          <w:kern w:val="0"/>
          <w:sz w:val="30"/>
          <w:szCs w:val="30"/>
          <w:highlight w:val="none"/>
        </w:rPr>
        <w:t>重庆北碚稠州村镇银行第二届董事会第</w:t>
      </w:r>
      <w:r>
        <w:rPr>
          <w:rFonts w:hint="default" w:ascii="Times New Roman" w:hAnsi="Times New Roman" w:eastAsia="仿宋_GB2312" w:cs="Times New Roman"/>
          <w:color w:val="auto"/>
          <w:kern w:val="0"/>
          <w:sz w:val="30"/>
          <w:szCs w:val="30"/>
          <w:highlight w:val="none"/>
          <w:lang w:val="en-US" w:eastAsia="zh-CN"/>
        </w:rPr>
        <w:t>九</w:t>
      </w:r>
      <w:r>
        <w:rPr>
          <w:rFonts w:hint="default" w:ascii="Times New Roman" w:hAnsi="Times New Roman" w:eastAsia="仿宋_GB2312" w:cs="Times New Roman"/>
          <w:color w:val="auto"/>
          <w:kern w:val="0"/>
          <w:sz w:val="30"/>
          <w:szCs w:val="30"/>
          <w:highlight w:val="none"/>
        </w:rPr>
        <w:t>次会议</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lang w:val="en-US" w:eastAsia="zh-CN"/>
        </w:rPr>
        <w:t>2024年6月25日召开的</w:t>
      </w:r>
      <w:r>
        <w:rPr>
          <w:rFonts w:hint="default" w:ascii="Times New Roman" w:hAnsi="Times New Roman" w:eastAsia="仿宋_GB2312" w:cs="Times New Roman"/>
          <w:color w:val="auto"/>
          <w:kern w:val="0"/>
          <w:sz w:val="30"/>
          <w:szCs w:val="30"/>
          <w:highlight w:val="none"/>
        </w:rPr>
        <w:t>重庆北碚稠州村镇银行第二届</w:t>
      </w:r>
      <w:r>
        <w:rPr>
          <w:rFonts w:hint="default" w:ascii="Times New Roman" w:hAnsi="Times New Roman" w:eastAsia="仿宋_GB2312" w:cs="Times New Roman"/>
          <w:color w:val="auto"/>
          <w:kern w:val="0"/>
          <w:sz w:val="30"/>
          <w:szCs w:val="30"/>
          <w:highlight w:val="none"/>
          <w:lang w:val="en-US" w:eastAsia="zh-CN"/>
        </w:rPr>
        <w:t>董事会第十次会议，2024年8月29日召开的重庆北碚稠州村镇银行第二届董事会第十一次会议，2024年12月16日召开的</w:t>
      </w:r>
      <w:r>
        <w:rPr>
          <w:rFonts w:hint="default" w:ascii="Times New Roman" w:hAnsi="Times New Roman" w:eastAsia="仿宋_GB2312" w:cs="Times New Roman"/>
          <w:color w:val="auto"/>
          <w:kern w:val="0"/>
          <w:sz w:val="30"/>
          <w:szCs w:val="30"/>
          <w:highlight w:val="none"/>
        </w:rPr>
        <w:t>重庆北碚稠州村镇银行有限责任公司第</w:t>
      </w:r>
      <w:r>
        <w:rPr>
          <w:rFonts w:hint="default" w:ascii="Times New Roman" w:hAnsi="Times New Roman" w:eastAsia="仿宋_GB2312" w:cs="Times New Roman"/>
          <w:color w:val="auto"/>
          <w:kern w:val="0"/>
          <w:sz w:val="30"/>
          <w:szCs w:val="30"/>
          <w:highlight w:val="none"/>
          <w:lang w:val="en-US" w:eastAsia="zh-CN"/>
        </w:rPr>
        <w:t>二</w:t>
      </w:r>
      <w:r>
        <w:rPr>
          <w:rFonts w:hint="default" w:ascii="Times New Roman" w:hAnsi="Times New Roman" w:eastAsia="仿宋_GB2312" w:cs="Times New Roman"/>
          <w:color w:val="auto"/>
          <w:kern w:val="0"/>
          <w:sz w:val="30"/>
          <w:szCs w:val="30"/>
          <w:highlight w:val="none"/>
        </w:rPr>
        <w:t>届董事会第</w:t>
      </w:r>
      <w:r>
        <w:rPr>
          <w:rFonts w:hint="default" w:ascii="Times New Roman" w:hAnsi="Times New Roman" w:eastAsia="仿宋_GB2312" w:cs="Times New Roman"/>
          <w:color w:val="auto"/>
          <w:kern w:val="0"/>
          <w:sz w:val="30"/>
          <w:szCs w:val="30"/>
          <w:highlight w:val="none"/>
          <w:lang w:val="en-US" w:eastAsia="zh-CN"/>
        </w:rPr>
        <w:t>十二</w:t>
      </w:r>
      <w:r>
        <w:rPr>
          <w:rFonts w:hint="default" w:ascii="Times New Roman" w:hAnsi="Times New Roman" w:eastAsia="仿宋_GB2312" w:cs="Times New Roman"/>
          <w:color w:val="auto"/>
          <w:kern w:val="0"/>
          <w:sz w:val="30"/>
          <w:szCs w:val="30"/>
          <w:highlight w:val="none"/>
        </w:rPr>
        <w:t>次</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lang w:val="en-US" w:eastAsia="zh-CN"/>
        </w:rPr>
        <w:t>临时</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会议</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lang w:val="en-US" w:eastAsia="zh-CN"/>
        </w:rPr>
        <w:t>2024年12月26日召开的重庆北碚稠州村镇银行有限责任公司第二届董事会第十三次会议。2024年的董事会均为全部董事出席。</w:t>
      </w:r>
    </w:p>
    <w:p>
      <w:pPr>
        <w:keepNext w:val="0"/>
        <w:keepLines w:val="0"/>
        <w:pageBreakBefore w:val="0"/>
        <w:kinsoku/>
        <w:wordWrap/>
        <w:overflowPunct/>
        <w:topLinePunct w:val="0"/>
        <w:bidi w:val="0"/>
        <w:snapToGrid/>
        <w:spacing w:line="560" w:lineRule="exact"/>
        <w:ind w:firstLine="357"/>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0"/>
          <w:szCs w:val="30"/>
          <w:highlight w:val="none"/>
          <w:lang w:val="en-US" w:eastAsia="zh-CN"/>
        </w:rPr>
        <w:t>六</w:t>
      </w:r>
      <w:r>
        <w:rPr>
          <w:rFonts w:hint="default" w:ascii="Times New Roman" w:hAnsi="Times New Roman" w:eastAsia="仿宋_GB2312" w:cs="Times New Roman"/>
          <w:color w:val="auto"/>
          <w:sz w:val="30"/>
          <w:szCs w:val="30"/>
          <w:highlight w:val="none"/>
        </w:rPr>
        <w:t>）关于董事、董事会及其专门委员会</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截至报告期末，公司董事会由</w:t>
      </w:r>
      <w:r>
        <w:rPr>
          <w:rFonts w:hint="default" w:ascii="Times New Roman" w:hAnsi="Times New Roman" w:eastAsia="仿宋_GB2312" w:cs="Times New Roman"/>
          <w:color w:val="auto"/>
          <w:sz w:val="30"/>
          <w:szCs w:val="30"/>
          <w:highlight w:val="none"/>
          <w:lang w:val="en-US" w:eastAsia="zh-CN"/>
        </w:rPr>
        <w:t>4</w:t>
      </w:r>
      <w:r>
        <w:rPr>
          <w:rFonts w:hint="default" w:ascii="Times New Roman" w:hAnsi="Times New Roman" w:eastAsia="仿宋_GB2312" w:cs="Times New Roman"/>
          <w:color w:val="auto"/>
          <w:sz w:val="30"/>
          <w:szCs w:val="30"/>
          <w:highlight w:val="none"/>
        </w:rPr>
        <w:t>名董事组成，其中股东董事</w:t>
      </w:r>
      <w:r>
        <w:rPr>
          <w:rFonts w:hint="default" w:ascii="Times New Roman" w:hAnsi="Times New Roman" w:eastAsia="仿宋_GB2312" w:cs="Times New Roman"/>
          <w:color w:val="auto"/>
          <w:sz w:val="30"/>
          <w:szCs w:val="30"/>
          <w:highlight w:val="none"/>
          <w:lang w:val="en-US" w:eastAsia="zh-CN"/>
        </w:rPr>
        <w:t>1</w:t>
      </w:r>
      <w:r>
        <w:rPr>
          <w:rFonts w:hint="default" w:ascii="Times New Roman" w:hAnsi="Times New Roman" w:eastAsia="仿宋_GB2312" w:cs="Times New Roman"/>
          <w:color w:val="auto"/>
          <w:sz w:val="30"/>
          <w:szCs w:val="30"/>
          <w:highlight w:val="none"/>
        </w:rPr>
        <w:t>名，职工董事</w:t>
      </w:r>
      <w:r>
        <w:rPr>
          <w:rFonts w:hint="default" w:ascii="Times New Roman" w:hAnsi="Times New Roman" w:eastAsia="仿宋_GB2312" w:cs="Times New Roman"/>
          <w:color w:val="auto"/>
          <w:sz w:val="30"/>
          <w:szCs w:val="30"/>
          <w:highlight w:val="none"/>
          <w:lang w:val="en-US" w:eastAsia="zh-CN"/>
        </w:rPr>
        <w:t>3</w:t>
      </w:r>
      <w:r>
        <w:rPr>
          <w:rFonts w:hint="default" w:ascii="Times New Roman" w:hAnsi="Times New Roman" w:eastAsia="仿宋_GB2312" w:cs="Times New Roman"/>
          <w:color w:val="auto"/>
          <w:sz w:val="30"/>
          <w:szCs w:val="30"/>
          <w:highlight w:val="none"/>
        </w:rPr>
        <w:t>名。符合监管规定要求。公司的董事均拥有丰富的管理经验和经济金融领域的工作经历。合理的董事结构、丰富的从业经验、多元化的专业背景保持了董事会应有的独立性，也提升了董事会的科学决策能力。</w:t>
      </w:r>
    </w:p>
    <w:p>
      <w:pPr>
        <w:keepNext w:val="0"/>
        <w:keepLines w:val="0"/>
        <w:pageBreakBefore w:val="0"/>
        <w:kinsoku/>
        <w:wordWrap/>
        <w:overflowPunct/>
        <w:topLinePunct w:val="0"/>
        <w:bidi w:val="0"/>
        <w:snapToGrid/>
        <w:spacing w:line="560" w:lineRule="exact"/>
        <w:ind w:firstLine="357"/>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 xml:space="preserve"> 报告期内，公司共召开例行董事会会议</w:t>
      </w:r>
      <w:r>
        <w:rPr>
          <w:rFonts w:hint="default" w:ascii="Times New Roman" w:hAnsi="Times New Roman" w:eastAsia="仿宋_GB2312" w:cs="Times New Roman"/>
          <w:color w:val="auto"/>
          <w:sz w:val="30"/>
          <w:szCs w:val="30"/>
          <w:highlight w:val="none"/>
          <w:lang w:val="en-US" w:eastAsia="zh-CN"/>
        </w:rPr>
        <w:t>4</w:t>
      </w:r>
      <w:r>
        <w:rPr>
          <w:rFonts w:hint="default" w:ascii="Times New Roman" w:hAnsi="Times New Roman" w:eastAsia="仿宋_GB2312" w:cs="Times New Roman"/>
          <w:color w:val="auto"/>
          <w:sz w:val="30"/>
          <w:szCs w:val="30"/>
          <w:highlight w:val="none"/>
        </w:rPr>
        <w:t>次，临时董事会</w:t>
      </w:r>
      <w:r>
        <w:rPr>
          <w:rFonts w:hint="default" w:ascii="Times New Roman" w:hAnsi="Times New Roman" w:eastAsia="仿宋_GB2312" w:cs="Times New Roman"/>
          <w:color w:val="auto"/>
          <w:sz w:val="30"/>
          <w:szCs w:val="30"/>
          <w:highlight w:val="none"/>
          <w:lang w:val="en-US" w:eastAsia="zh-CN"/>
        </w:rPr>
        <w:t>1</w:t>
      </w:r>
      <w:r>
        <w:rPr>
          <w:rFonts w:hint="default" w:ascii="Times New Roman" w:hAnsi="Times New Roman" w:eastAsia="仿宋_GB2312" w:cs="Times New Roman"/>
          <w:color w:val="auto"/>
          <w:sz w:val="30"/>
          <w:szCs w:val="30"/>
          <w:highlight w:val="none"/>
        </w:rPr>
        <w:t>次，审议、讨论通过决议</w:t>
      </w:r>
      <w:r>
        <w:rPr>
          <w:rFonts w:hint="default" w:ascii="Times New Roman" w:hAnsi="Times New Roman" w:eastAsia="仿宋_GB2312" w:cs="Times New Roman"/>
          <w:color w:val="auto"/>
          <w:kern w:val="0"/>
          <w:sz w:val="30"/>
          <w:szCs w:val="30"/>
          <w:highlight w:val="none"/>
          <w:lang w:val="en-US" w:eastAsia="zh-CN"/>
        </w:rPr>
        <w:t>48</w:t>
      </w:r>
      <w:r>
        <w:rPr>
          <w:rFonts w:hint="default" w:ascii="Times New Roman" w:hAnsi="Times New Roman" w:eastAsia="仿宋_GB2312" w:cs="Times New Roman"/>
          <w:color w:val="auto"/>
          <w:kern w:val="0"/>
          <w:sz w:val="30"/>
          <w:szCs w:val="30"/>
          <w:highlight w:val="none"/>
        </w:rPr>
        <w:t>项。除认真审议定期报告、财务预算、利润分配等常规事项外，董事会对公司战略管理、薪酬绩效考核、风险管理等方面给予了高度关注，充分发挥了董事会的指导决策职能</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kern w:val="0"/>
          <w:sz w:val="30"/>
          <w:szCs w:val="30"/>
          <w:highlight w:val="none"/>
        </w:rPr>
        <w:t>报告期内，各位董事能够积极参加监管部门和本公司组织会谈，展现了高度的责任心和良好的专业素养，切实维护了本公司和体股东的合法权益。</w:t>
      </w:r>
    </w:p>
    <w:p>
      <w:pPr>
        <w:keepNext w:val="0"/>
        <w:keepLines w:val="0"/>
        <w:pageBreakBefore w:val="0"/>
        <w:kinsoku/>
        <w:wordWrap/>
        <w:overflowPunct/>
        <w:topLinePunct w:val="0"/>
        <w:bidi w:val="0"/>
        <w:snapToGrid/>
        <w:spacing w:line="560" w:lineRule="exact"/>
        <w:ind w:firstLine="357"/>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kern w:val="0"/>
          <w:sz w:val="30"/>
          <w:szCs w:val="30"/>
          <w:highlight w:val="none"/>
        </w:rPr>
        <w:t xml:space="preserve"> 本</w:t>
      </w:r>
      <w:r>
        <w:rPr>
          <w:rFonts w:hint="default" w:ascii="Times New Roman" w:hAnsi="Times New Roman" w:eastAsia="仿宋_GB2312" w:cs="Times New Roman"/>
          <w:color w:val="auto"/>
          <w:sz w:val="30"/>
          <w:szCs w:val="30"/>
          <w:highlight w:val="none"/>
        </w:rPr>
        <w:t>公司董事会下设风险管理与关联交易控制委员会、薪酬与考核委员会、审计委员会、“三农”与小微企业金融服务委员会</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lang w:val="en-US" w:eastAsia="zh-CN"/>
        </w:rPr>
        <w:t>消费者保护委员会</w:t>
      </w:r>
      <w:r>
        <w:rPr>
          <w:rFonts w:hint="default" w:ascii="Times New Roman" w:hAnsi="Times New Roman" w:eastAsia="仿宋_GB2312" w:cs="Times New Roman"/>
          <w:color w:val="auto"/>
          <w:sz w:val="30"/>
          <w:szCs w:val="30"/>
          <w:highlight w:val="none"/>
        </w:rPr>
        <w:t>。董事会各专门委员会认真履行职责，针对董事会决策事项提出专业意见，对于提高管理水平，加强风险控制，改善治理结构，保护投资者合法权益起到了积极作用。</w:t>
      </w:r>
    </w:p>
    <w:p>
      <w:pPr>
        <w:pStyle w:val="2"/>
        <w:keepNext w:val="0"/>
        <w:keepLines w:val="0"/>
        <w:pageBreakBefore w:val="0"/>
        <w:numPr>
          <w:ilvl w:val="0"/>
          <w:numId w:val="0"/>
        </w:numPr>
        <w:kinsoku/>
        <w:wordWrap/>
        <w:overflowPunct/>
        <w:topLinePunct w:val="0"/>
        <w:bidi w:val="0"/>
        <w:snapToGrid/>
        <w:spacing w:line="560" w:lineRule="exact"/>
        <w:ind w:firstLine="600" w:firstLineChars="200"/>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（七）</w:t>
      </w:r>
      <w:r>
        <w:rPr>
          <w:rFonts w:hint="default" w:ascii="Times New Roman" w:hAnsi="Times New Roman" w:eastAsia="仿宋_GB2312" w:cs="Times New Roman"/>
          <w:color w:val="auto"/>
          <w:sz w:val="30"/>
          <w:szCs w:val="30"/>
          <w:highlight w:val="none"/>
          <w:lang w:val="en-US" w:eastAsia="zh-CN"/>
        </w:rPr>
        <w:t>监事会职责</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lang w:val="zh-CN"/>
        </w:rPr>
        <w:t>监督董事会、高级管理层履行职责情况；</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lang w:val="zh-CN"/>
        </w:rPr>
        <w:t>要求董事、董事长及高级管理人员纠正其损害本行利益的行为；对违反法律、行政法规、本行章程的董事、高级管理人员提出罢免的建议；</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lang w:val="zh-CN"/>
        </w:rPr>
        <w:t>检查监督本行的财务管理和活动；</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lang w:val="zh-CN"/>
        </w:rPr>
        <w:t>对董事、董事长及高级管理人员进行质询；</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5.</w:t>
      </w:r>
      <w:r>
        <w:rPr>
          <w:rFonts w:hint="default" w:ascii="Times New Roman" w:hAnsi="Times New Roman" w:eastAsia="仿宋_GB2312" w:cs="Times New Roman"/>
          <w:sz w:val="30"/>
          <w:szCs w:val="30"/>
          <w:highlight w:val="none"/>
          <w:lang w:val="zh-CN"/>
        </w:rPr>
        <w:t>依照公司法第一百五十一条的规定，对董事、高级管理人员提起诉讼。</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en-US" w:eastAsia="zh-CN"/>
        </w:rPr>
        <w:t>6.</w:t>
      </w:r>
      <w:r>
        <w:rPr>
          <w:rFonts w:hint="default" w:ascii="Times New Roman" w:hAnsi="Times New Roman" w:eastAsia="仿宋_GB2312" w:cs="Times New Roman"/>
          <w:sz w:val="30"/>
          <w:szCs w:val="30"/>
          <w:highlight w:val="none"/>
          <w:lang w:val="zh-CN"/>
        </w:rPr>
        <w:t>法律法规、行政规章及本章程规定应当由监事会行使的职权。</w:t>
      </w:r>
    </w:p>
    <w:p>
      <w:pPr>
        <w:keepNext w:val="0"/>
        <w:keepLines w:val="0"/>
        <w:pageBreakBefore w:val="0"/>
        <w:kinsoku/>
        <w:wordWrap/>
        <w:overflowPunct/>
        <w:topLinePunct w:val="0"/>
        <w:bidi w:val="0"/>
        <w:snapToGrid/>
        <w:spacing w:line="560" w:lineRule="exact"/>
        <w:ind w:firstLine="357"/>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0"/>
          <w:szCs w:val="30"/>
          <w:highlight w:val="none"/>
          <w:lang w:val="en-US" w:eastAsia="zh-CN"/>
        </w:rPr>
        <w:t>八</w:t>
      </w:r>
      <w:r>
        <w:rPr>
          <w:rFonts w:hint="default" w:ascii="Times New Roman" w:hAnsi="Times New Roman" w:eastAsia="仿宋_GB2312" w:cs="Times New Roman"/>
          <w:color w:val="auto"/>
          <w:sz w:val="30"/>
          <w:szCs w:val="30"/>
          <w:highlight w:val="none"/>
        </w:rPr>
        <w:t>）关于监事、监事会及其专门委员会</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报告期末，公司监事会成员3名，其中职工监事</w:t>
      </w:r>
      <w:r>
        <w:rPr>
          <w:rFonts w:hint="default" w:ascii="Times New Roman" w:hAnsi="Times New Roman" w:eastAsia="仿宋_GB2312" w:cs="Times New Roman"/>
          <w:color w:val="auto"/>
          <w:sz w:val="30"/>
          <w:szCs w:val="30"/>
          <w:highlight w:val="none"/>
          <w:lang w:val="en-US" w:eastAsia="zh-CN"/>
        </w:rPr>
        <w:t>2</w:t>
      </w:r>
      <w:r>
        <w:rPr>
          <w:rFonts w:hint="default" w:ascii="Times New Roman" w:hAnsi="Times New Roman" w:eastAsia="仿宋_GB2312" w:cs="Times New Roman"/>
          <w:color w:val="auto"/>
          <w:sz w:val="30"/>
          <w:szCs w:val="30"/>
          <w:highlight w:val="none"/>
        </w:rPr>
        <w:t>名，股东监事1名</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公司监事会的人数和人员构成均符合法律法规和《公司章程》的规定。</w:t>
      </w:r>
    </w:p>
    <w:p>
      <w:pPr>
        <w:keepNext w:val="0"/>
        <w:keepLines w:val="0"/>
        <w:pageBreakBefore w:val="0"/>
        <w:kinsoku/>
        <w:wordWrap/>
        <w:overflowPunct/>
        <w:topLinePunct w:val="0"/>
        <w:bidi w:val="0"/>
        <w:snapToGrid/>
        <w:spacing w:line="560" w:lineRule="exact"/>
        <w:ind w:firstLine="600" w:firstLineChars="200"/>
        <w:rPr>
          <w:rFonts w:hint="eastAsia"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bCs/>
          <w:color w:val="auto"/>
          <w:sz w:val="30"/>
          <w:szCs w:val="30"/>
          <w:highlight w:val="none"/>
        </w:rPr>
        <w:t>报告期内，本公司共召开监事会会议</w:t>
      </w:r>
      <w:r>
        <w:rPr>
          <w:rFonts w:hint="default" w:ascii="Times New Roman" w:hAnsi="Times New Roman" w:eastAsia="仿宋_GB2312" w:cs="Times New Roman"/>
          <w:bCs/>
          <w:color w:val="auto"/>
          <w:sz w:val="30"/>
          <w:szCs w:val="30"/>
          <w:highlight w:val="none"/>
          <w:lang w:val="en-US" w:eastAsia="zh-CN"/>
        </w:rPr>
        <w:t>5</w:t>
      </w:r>
      <w:r>
        <w:rPr>
          <w:rFonts w:hint="default" w:ascii="Times New Roman" w:hAnsi="Times New Roman" w:eastAsia="仿宋_GB2312" w:cs="Times New Roman"/>
          <w:bCs/>
          <w:color w:val="auto"/>
          <w:sz w:val="30"/>
          <w:szCs w:val="30"/>
          <w:highlight w:val="none"/>
        </w:rPr>
        <w:t>次。会议审议通过</w:t>
      </w:r>
      <w:r>
        <w:rPr>
          <w:rFonts w:hint="default" w:ascii="Times New Roman" w:hAnsi="Times New Roman" w:eastAsia="仿宋_GB2312" w:cs="Times New Roman"/>
          <w:color w:val="auto"/>
          <w:sz w:val="30"/>
          <w:szCs w:val="30"/>
          <w:highlight w:val="none"/>
        </w:rPr>
        <w:t>了包括监事会工作报告、财务报告、内控评价报告等</w:t>
      </w:r>
      <w:r>
        <w:rPr>
          <w:rFonts w:hint="default" w:ascii="Times New Roman" w:hAnsi="Times New Roman" w:eastAsia="仿宋_GB2312" w:cs="Times New Roman"/>
          <w:color w:val="auto"/>
          <w:sz w:val="30"/>
          <w:szCs w:val="30"/>
          <w:highlight w:val="none"/>
          <w:lang w:val="en-US" w:eastAsia="zh-CN"/>
        </w:rPr>
        <w:t>52</w:t>
      </w:r>
      <w:r>
        <w:rPr>
          <w:rFonts w:hint="default" w:ascii="Times New Roman" w:hAnsi="Times New Roman" w:eastAsia="仿宋_GB2312" w:cs="Times New Roman"/>
          <w:color w:val="auto"/>
          <w:sz w:val="30"/>
          <w:szCs w:val="30"/>
          <w:highlight w:val="none"/>
        </w:rPr>
        <w:t>项议案。</w:t>
      </w:r>
      <w:r>
        <w:rPr>
          <w:rFonts w:hint="eastAsia" w:ascii="Times New Roman" w:hAnsi="Times New Roman" w:eastAsia="仿宋_GB2312" w:cs="Times New Roman"/>
          <w:color w:val="auto"/>
          <w:sz w:val="30"/>
          <w:szCs w:val="30"/>
          <w:highlight w:val="none"/>
          <w:lang w:val="en-US" w:eastAsia="zh-CN"/>
        </w:rPr>
        <w:t xml:space="preserve">   </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bCs/>
          <w:color w:val="auto"/>
          <w:sz w:val="30"/>
          <w:szCs w:val="30"/>
          <w:highlight w:val="none"/>
        </w:rPr>
        <w:t>报告期内，各位监事勤勉尽职，通过列席董事会会议、审阅公司上报的文件、听取管理层的工作报告等多种方式，对本公司的经营情况、财务活动、风险管理与控制、董事会执行股东决议情况进行有效监督，并积极发表意见，切实履行了《公司章程》赋予的监督职责，促进了本公司的稳健发展。</w:t>
      </w:r>
    </w:p>
    <w:p>
      <w:pPr>
        <w:keepNext w:val="0"/>
        <w:keepLines w:val="0"/>
        <w:pageBreakBefore w:val="0"/>
        <w:kinsoku/>
        <w:wordWrap/>
        <w:overflowPunct/>
        <w:topLinePunct w:val="0"/>
        <w:bidi w:val="0"/>
        <w:snapToGrid/>
        <w:spacing w:line="560" w:lineRule="exact"/>
        <w:ind w:firstLine="357"/>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0"/>
          <w:szCs w:val="30"/>
          <w:highlight w:val="none"/>
          <w:lang w:val="en-US" w:eastAsia="zh-CN"/>
        </w:rPr>
        <w:t>九</w:t>
      </w:r>
      <w:r>
        <w:rPr>
          <w:rFonts w:hint="default" w:ascii="Times New Roman" w:hAnsi="Times New Roman" w:eastAsia="仿宋_GB2312" w:cs="Times New Roman"/>
          <w:color w:val="auto"/>
          <w:sz w:val="30"/>
          <w:szCs w:val="30"/>
          <w:highlight w:val="none"/>
        </w:rPr>
        <w:t>）关于高级管理层</w:t>
      </w:r>
    </w:p>
    <w:p>
      <w:pPr>
        <w:keepNext w:val="0"/>
        <w:keepLines w:val="0"/>
        <w:pageBreakBefore w:val="0"/>
        <w:kinsoku/>
        <w:wordWrap/>
        <w:overflowPunct/>
        <w:topLinePunct w:val="0"/>
        <w:bidi w:val="0"/>
        <w:snapToGrid/>
        <w:spacing w:line="560" w:lineRule="exact"/>
        <w:ind w:firstLine="357"/>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 xml:space="preserve"> 本公司高级管理层对董事会负责，接受监事会监督，依照法律法规、公司章程及董事会的授权，组织开展经营管理活动。本</w:t>
      </w:r>
      <w:r>
        <w:rPr>
          <w:rFonts w:hint="default" w:ascii="Times New Roman" w:hAnsi="Times New Roman" w:eastAsia="仿宋_GB2312" w:cs="Times New Roman"/>
          <w:color w:val="auto"/>
          <w:kern w:val="0"/>
          <w:sz w:val="30"/>
          <w:szCs w:val="30"/>
          <w:highlight w:val="none"/>
        </w:rPr>
        <w:t>公司的高级管理层人员结构合理、职责分工明确，</w:t>
      </w:r>
      <w:r>
        <w:rPr>
          <w:rFonts w:hint="default" w:ascii="Times New Roman" w:hAnsi="Times New Roman" w:eastAsia="仿宋_GB2312" w:cs="Times New Roman"/>
          <w:color w:val="auto"/>
          <w:sz w:val="30"/>
          <w:szCs w:val="30"/>
          <w:highlight w:val="none"/>
        </w:rPr>
        <w:t>行长对日常经营管理工作全面负责，</w:t>
      </w:r>
      <w:r>
        <w:rPr>
          <w:rFonts w:hint="default" w:ascii="Times New Roman" w:hAnsi="Times New Roman" w:eastAsia="仿宋_GB2312" w:cs="Times New Roman"/>
          <w:color w:val="auto"/>
          <w:kern w:val="0"/>
          <w:sz w:val="30"/>
          <w:szCs w:val="30"/>
          <w:highlight w:val="none"/>
          <w:lang w:val="en-US" w:eastAsia="zh-CN"/>
        </w:rPr>
        <w:t>行长助理</w:t>
      </w:r>
      <w:r>
        <w:rPr>
          <w:rFonts w:hint="default" w:ascii="Times New Roman" w:hAnsi="Times New Roman" w:eastAsia="仿宋_GB2312" w:cs="Times New Roman"/>
          <w:color w:val="auto"/>
          <w:kern w:val="0"/>
          <w:sz w:val="30"/>
          <w:szCs w:val="30"/>
          <w:highlight w:val="none"/>
        </w:rPr>
        <w:t>协助行长开展工作。</w:t>
      </w:r>
      <w:r>
        <w:rPr>
          <w:rFonts w:hint="default" w:ascii="Times New Roman" w:hAnsi="Times New Roman" w:eastAsia="仿宋_GB2312" w:cs="Times New Roman"/>
          <w:color w:val="auto"/>
          <w:sz w:val="30"/>
          <w:szCs w:val="30"/>
          <w:highlight w:val="none"/>
        </w:rPr>
        <w:t>公司的高级管理人员均具备较强的管理能力、市场应变能力和创新能力，由董事会聘任，并经监管部门依法核准。报告期内，本公司高级管理层在董事会的领导下，坚持“低成本、低消耗、轻模式”战略，加强对全行经营发展的统筹安排，持续提高精细化管理水平，不断提升资源配置效率，促进了各项业务的稳健发展。</w:t>
      </w:r>
    </w:p>
    <w:p>
      <w:pPr>
        <w:keepNext w:val="0"/>
        <w:keepLines w:val="0"/>
        <w:pageBreakBefore w:val="0"/>
        <w:kinsoku/>
        <w:wordWrap/>
        <w:overflowPunct/>
        <w:topLinePunct w:val="0"/>
        <w:bidi w:val="0"/>
        <w:snapToGrid/>
        <w:spacing w:line="560" w:lineRule="exact"/>
        <w:ind w:firstLine="357"/>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0"/>
          <w:szCs w:val="30"/>
          <w:highlight w:val="none"/>
          <w:lang w:val="en-US" w:eastAsia="zh-CN"/>
        </w:rPr>
        <w:t>十</w:t>
      </w:r>
      <w:r>
        <w:rPr>
          <w:rFonts w:hint="default" w:ascii="Times New Roman" w:hAnsi="Times New Roman" w:eastAsia="仿宋_GB2312" w:cs="Times New Roman"/>
          <w:color w:val="auto"/>
          <w:sz w:val="30"/>
          <w:szCs w:val="30"/>
          <w:highlight w:val="none"/>
        </w:rPr>
        <w:t>）关于信息披露与投资者关系管理</w:t>
      </w:r>
    </w:p>
    <w:p>
      <w:pPr>
        <w:keepNext w:val="0"/>
        <w:keepLines w:val="0"/>
        <w:pageBreakBefore w:val="0"/>
        <w:kinsoku/>
        <w:wordWrap/>
        <w:overflowPunct/>
        <w:topLinePunct w:val="0"/>
        <w:bidi w:val="0"/>
        <w:snapToGrid/>
        <w:spacing w:line="560" w:lineRule="exact"/>
        <w:ind w:firstLine="357"/>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 xml:space="preserve"> 报告期内，公司董事会按照银行业监督管理机构对商业银行信息披露的有关要求，编制了《202</w:t>
      </w:r>
      <w:r>
        <w:rPr>
          <w:rFonts w:hint="default" w:ascii="Times New Roman" w:hAnsi="Times New Roman" w:eastAsia="仿宋_GB2312" w:cs="Times New Roman"/>
          <w:color w:val="auto"/>
          <w:kern w:val="0"/>
          <w:sz w:val="30"/>
          <w:szCs w:val="30"/>
          <w:highlight w:val="none"/>
          <w:lang w:val="en-US" w:eastAsia="zh-CN"/>
        </w:rPr>
        <w:t>4</w:t>
      </w:r>
      <w:r>
        <w:rPr>
          <w:rFonts w:hint="default" w:ascii="Times New Roman" w:hAnsi="Times New Roman" w:eastAsia="仿宋_GB2312" w:cs="Times New Roman"/>
          <w:color w:val="auto"/>
          <w:kern w:val="0"/>
          <w:sz w:val="30"/>
          <w:szCs w:val="30"/>
          <w:highlight w:val="none"/>
        </w:rPr>
        <w:t>年度</w:t>
      </w:r>
      <w:r>
        <w:rPr>
          <w:rFonts w:hint="default" w:ascii="Times New Roman" w:hAnsi="Times New Roman" w:eastAsia="仿宋_GB2312" w:cs="Times New Roman"/>
          <w:color w:val="auto"/>
          <w:kern w:val="0"/>
          <w:sz w:val="30"/>
          <w:szCs w:val="30"/>
          <w:highlight w:val="none"/>
          <w:lang w:val="en-US" w:eastAsia="zh-CN"/>
        </w:rPr>
        <w:t>信息披露</w:t>
      </w:r>
      <w:r>
        <w:rPr>
          <w:rFonts w:hint="default" w:ascii="Times New Roman" w:hAnsi="Times New Roman" w:eastAsia="仿宋_GB2312" w:cs="Times New Roman"/>
          <w:color w:val="auto"/>
          <w:kern w:val="0"/>
          <w:sz w:val="30"/>
          <w:szCs w:val="30"/>
          <w:highlight w:val="none"/>
        </w:rPr>
        <w:t>报告》及摘要，</w:t>
      </w:r>
      <w:r>
        <w:rPr>
          <w:rFonts w:hint="default" w:ascii="Times New Roman" w:hAnsi="Times New Roman" w:eastAsia="仿宋_GB2312" w:cs="Times New Roman"/>
          <w:color w:val="auto"/>
          <w:kern w:val="0"/>
          <w:sz w:val="30"/>
          <w:szCs w:val="30"/>
          <w:highlight w:val="none"/>
          <w:lang w:val="en-US" w:eastAsia="zh-CN"/>
        </w:rPr>
        <w:t>将</w:t>
      </w:r>
      <w:r>
        <w:rPr>
          <w:rFonts w:hint="default" w:ascii="Times New Roman" w:hAnsi="Times New Roman" w:eastAsia="仿宋_GB2312" w:cs="Times New Roman"/>
          <w:color w:val="auto"/>
          <w:kern w:val="0"/>
          <w:sz w:val="30"/>
          <w:szCs w:val="30"/>
          <w:highlight w:val="none"/>
        </w:rPr>
        <w:t>于202</w:t>
      </w:r>
      <w:r>
        <w:rPr>
          <w:rFonts w:hint="default" w:ascii="Times New Roman" w:hAnsi="Times New Roman" w:eastAsia="仿宋_GB2312" w:cs="Times New Roman"/>
          <w:color w:val="auto"/>
          <w:kern w:val="0"/>
          <w:sz w:val="30"/>
          <w:szCs w:val="30"/>
          <w:highlight w:val="none"/>
          <w:lang w:val="en-US" w:eastAsia="zh-CN"/>
        </w:rPr>
        <w:t>5</w:t>
      </w:r>
      <w:r>
        <w:rPr>
          <w:rFonts w:hint="default" w:ascii="Times New Roman" w:hAnsi="Times New Roman" w:eastAsia="仿宋_GB2312" w:cs="Times New Roman"/>
          <w:color w:val="auto"/>
          <w:kern w:val="0"/>
          <w:sz w:val="30"/>
          <w:szCs w:val="30"/>
          <w:highlight w:val="none"/>
        </w:rPr>
        <w:t>年</w:t>
      </w:r>
      <w:r>
        <w:rPr>
          <w:rFonts w:hint="default" w:ascii="Times New Roman" w:hAnsi="Times New Roman" w:eastAsia="仿宋_GB2312" w:cs="Times New Roman"/>
          <w:color w:val="auto"/>
          <w:kern w:val="0"/>
          <w:sz w:val="30"/>
          <w:szCs w:val="30"/>
          <w:highlight w:val="none"/>
          <w:lang w:val="en-US" w:eastAsia="zh-CN"/>
        </w:rPr>
        <w:t>4</w:t>
      </w:r>
      <w:r>
        <w:rPr>
          <w:rFonts w:hint="default" w:ascii="Times New Roman" w:hAnsi="Times New Roman" w:eastAsia="仿宋_GB2312" w:cs="Times New Roman"/>
          <w:color w:val="auto"/>
          <w:kern w:val="0"/>
          <w:sz w:val="30"/>
          <w:szCs w:val="30"/>
          <w:highlight w:val="none"/>
        </w:rPr>
        <w:t>月</w:t>
      </w:r>
      <w:r>
        <w:rPr>
          <w:rFonts w:hint="default" w:ascii="Times New Roman" w:hAnsi="Times New Roman" w:eastAsia="仿宋_GB2312" w:cs="Times New Roman"/>
          <w:color w:val="auto"/>
          <w:kern w:val="0"/>
          <w:sz w:val="30"/>
          <w:szCs w:val="30"/>
          <w:highlight w:val="none"/>
          <w:lang w:val="en-US" w:eastAsia="zh-CN"/>
        </w:rPr>
        <w:t>会在</w:t>
      </w:r>
      <w:r>
        <w:rPr>
          <w:rFonts w:hint="default" w:ascii="Times New Roman" w:hAnsi="Times New Roman" w:eastAsia="仿宋_GB2312" w:cs="Times New Roman"/>
          <w:color w:val="auto"/>
          <w:kern w:val="0"/>
          <w:sz w:val="30"/>
          <w:szCs w:val="30"/>
          <w:highlight w:val="none"/>
        </w:rPr>
        <w:t>公司门户网站上予以发布。同时在董事会办公室备置，供投资者及利益相关人查阅，做到了信息披露的准确、真实和完整，确保股东有机会获得信息。</w:t>
      </w:r>
    </w:p>
    <w:p>
      <w:pPr>
        <w:keepNext w:val="0"/>
        <w:keepLines w:val="0"/>
        <w:pageBreakBefore w:val="0"/>
        <w:kinsoku/>
        <w:wordWrap/>
        <w:overflowPunct/>
        <w:topLinePunct w:val="0"/>
        <w:bidi w:val="0"/>
        <w:snapToGrid/>
        <w:spacing w:line="560" w:lineRule="exact"/>
        <w:ind w:firstLine="357"/>
        <w:rPr>
          <w:rFonts w:hint="default" w:ascii="Times New Roman" w:hAnsi="Times New Roman" w:eastAsia="仿宋_GB2312" w:cs="Times New Roman"/>
          <w:b/>
          <w:color w:val="auto"/>
          <w:kern w:val="0"/>
          <w:sz w:val="30"/>
          <w:szCs w:val="30"/>
          <w:highlight w:val="none"/>
        </w:rPr>
      </w:pPr>
      <w:r>
        <w:rPr>
          <w:rFonts w:hint="default" w:ascii="Times New Roman" w:hAnsi="Times New Roman" w:eastAsia="仿宋_GB2312" w:cs="Times New Roman"/>
          <w:color w:val="auto"/>
          <w:kern w:val="0"/>
          <w:sz w:val="30"/>
          <w:szCs w:val="30"/>
          <w:highlight w:val="none"/>
        </w:rPr>
        <w:t xml:space="preserve"> 在投资者关系管理上，本公司一直致力于搭建良好的投资者交流沟通平台，增强与投资者交流互动的质量。报告期内，本公司通过门户网站、报刊等媒介主动向投资者展示良好的形象，进一步增进投资者对公司的了解。同时，本公司还及时、全面地向投资者披露公司财务、年度报告等信息，并通过接待来访、电话专线、电子邮箱、传真和书面信件等方式积极服务股东，及时解答股东关心的问题。</w:t>
      </w:r>
    </w:p>
    <w:p>
      <w:pPr>
        <w:keepNext w:val="0"/>
        <w:keepLines w:val="0"/>
        <w:pageBreakBefore w:val="0"/>
        <w:kinsoku/>
        <w:wordWrap/>
        <w:overflowPunct/>
        <w:topLinePunct w:val="0"/>
        <w:autoSpaceDE w:val="0"/>
        <w:autoSpaceDN w:val="0"/>
        <w:bidi w:val="0"/>
        <w:adjustRightInd w:val="0"/>
        <w:snapToGrid/>
        <w:spacing w:line="560" w:lineRule="exact"/>
        <w:ind w:firstLine="602" w:firstLineChars="200"/>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color w:val="auto"/>
          <w:kern w:val="0"/>
          <w:sz w:val="30"/>
          <w:szCs w:val="30"/>
          <w:highlight w:val="none"/>
        </w:rPr>
        <w:t xml:space="preserve">7.2 </w:t>
      </w:r>
      <w:r>
        <w:rPr>
          <w:rFonts w:hint="default" w:ascii="Times New Roman" w:hAnsi="Times New Roman" w:eastAsia="仿宋_GB2312" w:cs="Times New Roman"/>
          <w:color w:val="auto"/>
          <w:kern w:val="0"/>
          <w:sz w:val="30"/>
          <w:szCs w:val="30"/>
          <w:highlight w:val="none"/>
        </w:rPr>
        <w:t xml:space="preserve"> </w:t>
      </w:r>
      <w:r>
        <w:rPr>
          <w:rFonts w:hint="default" w:ascii="Times New Roman" w:hAnsi="Times New Roman" w:eastAsia="仿宋_GB2312" w:cs="Times New Roman"/>
          <w:b/>
          <w:color w:val="auto"/>
          <w:sz w:val="30"/>
          <w:szCs w:val="30"/>
          <w:highlight w:val="none"/>
        </w:rPr>
        <w:t>经营决策体系</w:t>
      </w:r>
    </w:p>
    <w:p>
      <w:pPr>
        <w:keepNext w:val="0"/>
        <w:keepLines w:val="0"/>
        <w:pageBreakBefore w:val="0"/>
        <w:kinsoku/>
        <w:wordWrap/>
        <w:overflowPunct/>
        <w:topLinePunct w:val="0"/>
        <w:bidi w:val="0"/>
        <w:snapToGrid/>
        <w:spacing w:line="560" w:lineRule="exact"/>
        <w:ind w:firstLine="588" w:firstLineChars="196"/>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color w:val="auto"/>
          <w:sz w:val="30"/>
          <w:szCs w:val="30"/>
          <w:highlight w:val="none"/>
          <w:lang w:val="en-US" w:eastAsia="zh-CN"/>
        </w:rPr>
        <w:t>我行只有一个股东为我行发起行浙江稠州商业银行</w:t>
      </w:r>
      <w:r>
        <w:rPr>
          <w:rFonts w:hint="default" w:ascii="Times New Roman" w:hAnsi="Times New Roman" w:eastAsia="仿宋_GB2312" w:cs="Times New Roman"/>
          <w:color w:val="auto"/>
          <w:sz w:val="30"/>
          <w:szCs w:val="30"/>
          <w:highlight w:val="none"/>
        </w:rPr>
        <w:t>，董事会是股东</w:t>
      </w:r>
      <w:r>
        <w:rPr>
          <w:rFonts w:hint="default" w:ascii="Times New Roman" w:hAnsi="Times New Roman" w:eastAsia="仿宋_GB2312" w:cs="Times New Roman"/>
          <w:color w:val="auto"/>
          <w:sz w:val="30"/>
          <w:szCs w:val="30"/>
          <w:highlight w:val="none"/>
          <w:lang w:val="en-US" w:eastAsia="zh-CN"/>
        </w:rPr>
        <w:t>决定</w:t>
      </w:r>
      <w:r>
        <w:rPr>
          <w:rFonts w:hint="default" w:ascii="Times New Roman" w:hAnsi="Times New Roman" w:eastAsia="仿宋_GB2312" w:cs="Times New Roman"/>
          <w:color w:val="auto"/>
          <w:sz w:val="30"/>
          <w:szCs w:val="30"/>
          <w:highlight w:val="none"/>
        </w:rPr>
        <w:t>的执行机构，对股东负责，监事会行使监督职能。行长受聘于董事会，对本公司日</w:t>
      </w:r>
      <w:r>
        <w:rPr>
          <w:rFonts w:hint="default" w:ascii="Times New Roman" w:hAnsi="Times New Roman" w:eastAsia="仿宋_GB2312" w:cs="Times New Roman"/>
          <w:sz w:val="30"/>
          <w:szCs w:val="30"/>
          <w:highlight w:val="none"/>
        </w:rPr>
        <w:t>常经营管理全面负责。本公司实行一级法人体制，各机构经营管理活动根据总行授权进行，并对总行负责。</w:t>
      </w:r>
    </w:p>
    <w:p>
      <w:pPr>
        <w:keepNext w:val="0"/>
        <w:keepLines w:val="0"/>
        <w:pageBreakBefore w:val="0"/>
        <w:kinsoku/>
        <w:wordWrap/>
        <w:overflowPunct/>
        <w:topLinePunct w:val="0"/>
        <w:bidi w:val="0"/>
        <w:snapToGrid/>
        <w:spacing w:line="560" w:lineRule="exact"/>
        <w:ind w:firstLine="590" w:firstLineChars="196"/>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7.3 与控股股东“五分开”情况</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公司与大股东在业务、人员、资产、机构、财务五方面完全独立。公司为自主经营、自负盈亏的独立法人，具有独立、完整的业务及自主经营能力。</w:t>
      </w:r>
    </w:p>
    <w:p>
      <w:pPr>
        <w:keepNext w:val="0"/>
        <w:keepLines w:val="0"/>
        <w:pageBreakBefore w:val="0"/>
        <w:kinsoku/>
        <w:wordWrap/>
        <w:overflowPunct/>
        <w:topLinePunct w:val="0"/>
        <w:bidi w:val="0"/>
        <w:snapToGrid/>
        <w:spacing w:line="560" w:lineRule="exact"/>
        <w:ind w:firstLine="602"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8</w:t>
      </w:r>
      <w:r>
        <w:rPr>
          <w:rFonts w:hint="default" w:ascii="Times New Roman" w:hAnsi="Times New Roman" w:eastAsia="仿宋_GB2312" w:cs="Times New Roman"/>
          <w:b/>
          <w:sz w:val="30"/>
          <w:szCs w:val="30"/>
          <w:highlight w:val="none"/>
          <w:lang w:eastAsia="zh-CN"/>
        </w:rPr>
        <w:t>、</w:t>
      </w:r>
      <w:r>
        <w:rPr>
          <w:rFonts w:hint="default" w:ascii="Times New Roman" w:hAnsi="Times New Roman" w:eastAsia="仿宋_GB2312" w:cs="Times New Roman"/>
          <w:b/>
          <w:sz w:val="30"/>
          <w:szCs w:val="30"/>
          <w:highlight w:val="none"/>
        </w:rPr>
        <w:t>公司风险管理状况</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sz w:val="30"/>
          <w:szCs w:val="30"/>
          <w:highlight w:val="none"/>
          <w:shd w:val="clear" w:color="auto" w:fill="FFFFFF"/>
        </w:rPr>
        <w:t>报告期内，本行深化全面风险管理文化建设，明确风险管理战略与风险偏好，完善政策制度，健全组织架构，创新管理工具，强化风险绩效考核，加强队伍建设，建立了适应本行战略发展需要的全面风险管理体系</w:t>
      </w:r>
      <w:r>
        <w:rPr>
          <w:rFonts w:hint="default" w:ascii="Times New Roman" w:hAnsi="Times New Roman" w:eastAsia="仿宋_GB2312" w:cs="Times New Roman"/>
          <w:sz w:val="30"/>
          <w:szCs w:val="30"/>
          <w:highlight w:val="none"/>
        </w:rPr>
        <w:t>，促进了各项业务的稳健发展。</w:t>
      </w:r>
    </w:p>
    <w:p>
      <w:pPr>
        <w:keepNext w:val="0"/>
        <w:keepLines w:val="0"/>
        <w:pageBreakBefore w:val="0"/>
        <w:kinsoku/>
        <w:wordWrap/>
        <w:overflowPunct/>
        <w:topLinePunct w:val="0"/>
        <w:bidi w:val="0"/>
        <w:snapToGrid/>
        <w:spacing w:line="560" w:lineRule="exact"/>
        <w:ind w:firstLine="602"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8.1  信用风险</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本行所面临的信用风险是指交易对方无法在到期日履行合同义务的风险。信用风险是本行在经营活动中所面临的最重要的风险，管理层对信用风险敞口采取审慎的原则进行管理。本行的信用风险主要来源于贷款和资金业务。目前本行由信贷评审委员会对信用风险防范进行决策和统筹协调，采取专业化授信评审、集中质量监控、问题资产集中</w:t>
      </w:r>
      <w:r>
        <w:rPr>
          <w:rFonts w:hint="default" w:ascii="Times New Roman" w:hAnsi="Times New Roman" w:eastAsia="仿宋_GB2312" w:cs="Times New Roman"/>
          <w:color w:val="auto"/>
          <w:sz w:val="30"/>
          <w:szCs w:val="30"/>
          <w:highlight w:val="none"/>
          <w:lang w:val="en-US" w:eastAsia="zh-CN"/>
        </w:rPr>
        <w:t>处置</w:t>
      </w:r>
      <w:r>
        <w:rPr>
          <w:rFonts w:hint="default" w:ascii="Times New Roman" w:hAnsi="Times New Roman" w:eastAsia="仿宋_GB2312" w:cs="Times New Roman"/>
          <w:color w:val="auto"/>
          <w:sz w:val="30"/>
          <w:szCs w:val="30"/>
          <w:highlight w:val="none"/>
        </w:rPr>
        <w:t>和清收等主要手段进行信用风险管理。</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sz w:val="30"/>
          <w:szCs w:val="30"/>
          <w:highlight w:val="none"/>
          <w:shd w:val="clear" w:color="auto" w:fill="FFFFFF"/>
          <w:lang w:val="en-US" w:eastAsia="zh-CN"/>
        </w:rPr>
        <w:t xml:space="preserve"> </w:t>
      </w:r>
      <w:r>
        <w:rPr>
          <w:rFonts w:hint="default" w:ascii="Times New Roman" w:hAnsi="Times New Roman" w:eastAsia="仿宋_GB2312" w:cs="Times New Roman"/>
          <w:sz w:val="30"/>
          <w:szCs w:val="30"/>
          <w:highlight w:val="none"/>
          <w:shd w:val="clear" w:color="auto" w:fill="FFFFFF"/>
        </w:rPr>
        <w:t>报告期内，我行信用风险较去年大幅增加，截至202</w:t>
      </w:r>
      <w:r>
        <w:rPr>
          <w:rFonts w:hint="default" w:ascii="Times New Roman" w:hAnsi="Times New Roman" w:eastAsia="仿宋_GB2312" w:cs="Times New Roman"/>
          <w:sz w:val="30"/>
          <w:szCs w:val="30"/>
          <w:highlight w:val="none"/>
          <w:shd w:val="clear" w:color="auto" w:fill="FFFFFF"/>
          <w:lang w:val="en-US"/>
        </w:rPr>
        <w:t>4</w:t>
      </w:r>
      <w:r>
        <w:rPr>
          <w:rFonts w:hint="default" w:ascii="Times New Roman" w:hAnsi="Times New Roman" w:eastAsia="仿宋_GB2312" w:cs="Times New Roman"/>
          <w:sz w:val="30"/>
          <w:szCs w:val="30"/>
          <w:highlight w:val="none"/>
          <w:shd w:val="clear" w:color="auto" w:fill="FFFFFF"/>
        </w:rPr>
        <w:t>年12月31日,我行各项贷款余额</w:t>
      </w:r>
      <w:r>
        <w:rPr>
          <w:rFonts w:hint="default" w:ascii="Times New Roman" w:hAnsi="Times New Roman" w:eastAsia="仿宋_GB2312" w:cs="Times New Roman"/>
          <w:sz w:val="30"/>
          <w:szCs w:val="30"/>
          <w:highlight w:val="none"/>
          <w:shd w:val="clear" w:color="auto" w:fill="FFFFFF"/>
          <w:lang w:val="en-US"/>
        </w:rPr>
        <w:t>60443.95</w:t>
      </w:r>
      <w:r>
        <w:rPr>
          <w:rFonts w:hint="default" w:ascii="Times New Roman" w:hAnsi="Times New Roman" w:eastAsia="仿宋_GB2312" w:cs="Times New Roman"/>
          <w:sz w:val="30"/>
          <w:szCs w:val="30"/>
          <w:highlight w:val="none"/>
          <w:shd w:val="clear" w:color="auto" w:fill="FFFFFF"/>
        </w:rPr>
        <w:t>万元，较年初</w:t>
      </w:r>
      <w:r>
        <w:rPr>
          <w:rFonts w:hint="default" w:ascii="Times New Roman" w:hAnsi="Times New Roman" w:eastAsia="仿宋_GB2312" w:cs="Times New Roman"/>
          <w:sz w:val="30"/>
          <w:szCs w:val="30"/>
          <w:highlight w:val="none"/>
          <w:shd w:val="clear" w:color="auto" w:fill="FFFFFF"/>
          <w:lang w:val="en-US" w:eastAsia="zh-CN"/>
        </w:rPr>
        <w:t>增加8647.12</w:t>
      </w:r>
      <w:r>
        <w:rPr>
          <w:rFonts w:hint="default" w:ascii="Times New Roman" w:hAnsi="Times New Roman" w:eastAsia="仿宋_GB2312" w:cs="Times New Roman"/>
          <w:sz w:val="30"/>
          <w:szCs w:val="30"/>
          <w:highlight w:val="none"/>
          <w:shd w:val="clear" w:color="auto" w:fill="FFFFFF"/>
        </w:rPr>
        <w:t>万元，</w:t>
      </w:r>
      <w:r>
        <w:rPr>
          <w:rFonts w:hint="default" w:ascii="Times New Roman" w:hAnsi="Times New Roman" w:eastAsia="仿宋_GB2312" w:cs="Times New Roman"/>
          <w:sz w:val="30"/>
          <w:szCs w:val="30"/>
          <w:highlight w:val="none"/>
          <w:shd w:val="clear" w:color="auto" w:fill="FFFFFF"/>
          <w:lang w:val="en-US" w:eastAsia="zh-CN"/>
        </w:rPr>
        <w:t>增</w:t>
      </w:r>
      <w:r>
        <w:rPr>
          <w:rFonts w:hint="default" w:ascii="Times New Roman" w:hAnsi="Times New Roman" w:eastAsia="仿宋_GB2312" w:cs="Times New Roman"/>
          <w:sz w:val="30"/>
          <w:szCs w:val="30"/>
          <w:highlight w:val="none"/>
          <w:shd w:val="clear" w:color="auto" w:fill="FFFFFF"/>
        </w:rPr>
        <w:t>幅</w:t>
      </w:r>
      <w:r>
        <w:rPr>
          <w:rFonts w:hint="default" w:ascii="Times New Roman" w:hAnsi="Times New Roman" w:eastAsia="仿宋_GB2312" w:cs="Times New Roman"/>
          <w:sz w:val="30"/>
          <w:szCs w:val="30"/>
          <w:highlight w:val="none"/>
          <w:shd w:val="clear" w:color="auto" w:fill="FFFFFF"/>
          <w:lang w:val="en-US" w:eastAsia="zh-CN"/>
        </w:rPr>
        <w:t>16.69</w:t>
      </w:r>
      <w:r>
        <w:rPr>
          <w:rFonts w:hint="default" w:ascii="Times New Roman" w:hAnsi="Times New Roman" w:eastAsia="仿宋_GB2312" w:cs="Times New Roman"/>
          <w:sz w:val="30"/>
          <w:szCs w:val="30"/>
          <w:highlight w:val="none"/>
          <w:shd w:val="clear" w:color="auto" w:fill="FFFFFF"/>
        </w:rPr>
        <w:t>%，其中：不良贷款余额</w:t>
      </w:r>
      <w:r>
        <w:rPr>
          <w:rFonts w:hint="default" w:ascii="Times New Roman" w:hAnsi="Times New Roman" w:eastAsia="仿宋_GB2312" w:cs="Times New Roman"/>
          <w:sz w:val="30"/>
          <w:szCs w:val="30"/>
          <w:highlight w:val="none"/>
          <w:shd w:val="clear" w:color="auto" w:fill="FFFFFF"/>
          <w:lang w:val="en-US" w:eastAsia="zh-CN"/>
        </w:rPr>
        <w:t>1573.74</w:t>
      </w:r>
      <w:r>
        <w:rPr>
          <w:rFonts w:hint="default" w:ascii="Times New Roman" w:hAnsi="Times New Roman" w:eastAsia="仿宋_GB2312" w:cs="Times New Roman"/>
          <w:sz w:val="30"/>
          <w:szCs w:val="30"/>
          <w:highlight w:val="none"/>
          <w:shd w:val="clear" w:color="auto" w:fill="FFFFFF"/>
        </w:rPr>
        <w:t>万元，较年初增加</w:t>
      </w:r>
      <w:r>
        <w:rPr>
          <w:rFonts w:hint="default" w:ascii="Times New Roman" w:hAnsi="Times New Roman" w:eastAsia="仿宋_GB2312" w:cs="Times New Roman"/>
          <w:sz w:val="30"/>
          <w:szCs w:val="30"/>
          <w:highlight w:val="none"/>
          <w:shd w:val="clear" w:color="auto" w:fill="FFFFFF"/>
          <w:lang w:val="en-US" w:eastAsia="zh-CN"/>
        </w:rPr>
        <w:t>181.96</w:t>
      </w:r>
      <w:r>
        <w:rPr>
          <w:rFonts w:hint="default" w:ascii="Times New Roman" w:hAnsi="Times New Roman" w:eastAsia="仿宋_GB2312" w:cs="Times New Roman"/>
          <w:sz w:val="30"/>
          <w:szCs w:val="30"/>
          <w:highlight w:val="none"/>
          <w:shd w:val="clear" w:color="auto" w:fill="FFFFFF"/>
        </w:rPr>
        <w:t>万元，贷款不良率</w:t>
      </w:r>
      <w:r>
        <w:rPr>
          <w:rFonts w:hint="default" w:ascii="Times New Roman" w:hAnsi="Times New Roman" w:eastAsia="仿宋_GB2312" w:cs="Times New Roman"/>
          <w:sz w:val="30"/>
          <w:szCs w:val="30"/>
          <w:highlight w:val="none"/>
          <w:shd w:val="clear" w:color="auto" w:fill="FFFFFF"/>
          <w:lang w:val="en-US" w:eastAsia="zh-CN"/>
        </w:rPr>
        <w:t>2.60</w:t>
      </w:r>
      <w:r>
        <w:rPr>
          <w:rFonts w:hint="default" w:ascii="Times New Roman" w:hAnsi="Times New Roman" w:eastAsia="仿宋_GB2312" w:cs="Times New Roman"/>
          <w:sz w:val="30"/>
          <w:szCs w:val="30"/>
          <w:highlight w:val="none"/>
          <w:shd w:val="clear" w:color="auto" w:fill="FFFFFF"/>
        </w:rPr>
        <w:t>%，较年初</w:t>
      </w:r>
      <w:r>
        <w:rPr>
          <w:rFonts w:hint="default" w:ascii="Times New Roman" w:hAnsi="Times New Roman" w:eastAsia="仿宋_GB2312" w:cs="Times New Roman"/>
          <w:sz w:val="30"/>
          <w:szCs w:val="30"/>
          <w:highlight w:val="none"/>
          <w:shd w:val="clear" w:color="auto" w:fill="FFFFFF"/>
          <w:lang w:val="en-US" w:eastAsia="zh-CN"/>
        </w:rPr>
        <w:t>减少0.09</w:t>
      </w:r>
      <w:r>
        <w:rPr>
          <w:rFonts w:hint="default" w:ascii="Times New Roman" w:hAnsi="Times New Roman" w:eastAsia="仿宋_GB2312" w:cs="Times New Roman"/>
          <w:sz w:val="30"/>
          <w:szCs w:val="30"/>
          <w:highlight w:val="none"/>
          <w:shd w:val="clear" w:color="auto" w:fill="FFFFFF"/>
        </w:rPr>
        <w:t>个百分点，现有不良拨备金额</w:t>
      </w:r>
      <w:r>
        <w:rPr>
          <w:rFonts w:hint="default" w:ascii="Times New Roman" w:hAnsi="Times New Roman" w:eastAsia="仿宋_GB2312" w:cs="Times New Roman"/>
          <w:sz w:val="30"/>
          <w:szCs w:val="30"/>
          <w:highlight w:val="none"/>
          <w:shd w:val="clear" w:color="auto" w:fill="FFFFFF"/>
          <w:lang w:val="en-US" w:eastAsia="zh-CN"/>
        </w:rPr>
        <w:t>2442.69</w:t>
      </w:r>
      <w:r>
        <w:rPr>
          <w:rFonts w:hint="default" w:ascii="Times New Roman" w:hAnsi="Times New Roman" w:eastAsia="仿宋_GB2312" w:cs="Times New Roman"/>
          <w:sz w:val="30"/>
          <w:szCs w:val="30"/>
          <w:highlight w:val="none"/>
          <w:shd w:val="clear" w:color="auto" w:fill="FFFFFF"/>
        </w:rPr>
        <w:t>万元，拨备覆盖率</w:t>
      </w:r>
      <w:r>
        <w:rPr>
          <w:rFonts w:hint="default" w:ascii="Times New Roman" w:hAnsi="Times New Roman" w:eastAsia="仿宋_GB2312" w:cs="Times New Roman"/>
          <w:sz w:val="30"/>
          <w:szCs w:val="30"/>
          <w:highlight w:val="none"/>
          <w:shd w:val="clear" w:color="auto" w:fill="FFFFFF"/>
          <w:lang w:val="en-US" w:eastAsia="zh-CN"/>
        </w:rPr>
        <w:t>155.22</w:t>
      </w:r>
      <w:r>
        <w:rPr>
          <w:rFonts w:hint="default" w:ascii="Times New Roman" w:hAnsi="Times New Roman" w:eastAsia="仿宋_GB2312" w:cs="Times New Roman"/>
          <w:sz w:val="30"/>
          <w:szCs w:val="30"/>
          <w:highlight w:val="none"/>
          <w:shd w:val="clear" w:color="auto" w:fill="FFFFFF"/>
        </w:rPr>
        <w:t>%。</w:t>
      </w:r>
    </w:p>
    <w:p>
      <w:pPr>
        <w:keepNext w:val="0"/>
        <w:keepLines w:val="0"/>
        <w:pageBreakBefore w:val="0"/>
        <w:kinsoku/>
        <w:wordWrap/>
        <w:overflowPunct/>
        <w:topLinePunct w:val="0"/>
        <w:bidi w:val="0"/>
        <w:snapToGrid/>
        <w:spacing w:line="560" w:lineRule="exact"/>
        <w:ind w:firstLine="602"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sz w:val="30"/>
          <w:szCs w:val="30"/>
          <w:highlight w:val="none"/>
        </w:rPr>
        <w:t>8.2  市场风险</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市场风险是指市场状况变化对未来收益、公允价值、未来现金流造成的潜在损失。市场风险是由于市场的一般或特定变化对利率、货币和衍生金融工具交易敞口头寸造成影响而产生。市场风险可能影响所有市场风险敏感性金融产品，包括贷款、存款、拆放、证券以及衍生金融工具。</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sz w:val="30"/>
          <w:szCs w:val="30"/>
          <w:highlight w:val="none"/>
        </w:rPr>
        <w:t>本行的业务分为交易账户和银行账户。交易账户包括由以交易为目的持有及为规避交易账户市场风险而持有的可以自由交易的金融工具和商品头寸。交易账户旨在从短期价格波动中赢利。风险管理部针对交易账户和投资类银行账户履行识别、计量和监测风险的职能。银行账户指交易账户之外的资产和负债。</w:t>
      </w:r>
      <w:r>
        <w:rPr>
          <w:rFonts w:hint="default" w:ascii="Times New Roman" w:hAnsi="Times New Roman" w:eastAsia="仿宋_GB2312" w:cs="Times New Roman"/>
          <w:sz w:val="30"/>
          <w:szCs w:val="30"/>
          <w:highlight w:val="none"/>
          <w:lang w:val="en-US" w:eastAsia="zh-CN"/>
        </w:rPr>
        <w:t>运营管理部</w:t>
      </w:r>
      <w:r>
        <w:rPr>
          <w:rFonts w:hint="default" w:ascii="Times New Roman" w:hAnsi="Times New Roman" w:eastAsia="仿宋_GB2312" w:cs="Times New Roman"/>
          <w:sz w:val="30"/>
          <w:szCs w:val="30"/>
          <w:highlight w:val="none"/>
        </w:rPr>
        <w:t>针对银行帐户利率风险履行识别、计量和监测风险的职能。</w:t>
      </w:r>
    </w:p>
    <w:p>
      <w:pPr>
        <w:keepNext w:val="0"/>
        <w:keepLines w:val="0"/>
        <w:pageBreakBefore w:val="0"/>
        <w:kinsoku/>
        <w:wordWrap/>
        <w:overflowPunct/>
        <w:topLinePunct w:val="0"/>
        <w:bidi w:val="0"/>
        <w:snapToGrid/>
        <w:spacing w:line="560" w:lineRule="exact"/>
        <w:ind w:firstLine="590" w:firstLineChars="196"/>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8.3  流动性风险</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流动性风险是指资产负债现金流错配而不能完全履行支付义务的风险。本行面临各类日常现金提款的要求，其中包括通知存款、活期存款、到期的定期存款、客户贷款提款、担保</w:t>
      </w:r>
      <w:r>
        <w:rPr>
          <w:rFonts w:hint="default" w:ascii="Times New Roman" w:hAnsi="Times New Roman" w:eastAsia="仿宋_GB2312" w:cs="Times New Roman"/>
          <w:sz w:val="30"/>
          <w:szCs w:val="30"/>
          <w:highlight w:val="none"/>
          <w:lang w:eastAsia="zh-CN"/>
        </w:rPr>
        <w:t>等</w:t>
      </w:r>
      <w:r>
        <w:rPr>
          <w:rFonts w:hint="default" w:ascii="Times New Roman" w:hAnsi="Times New Roman" w:eastAsia="仿宋_GB2312" w:cs="Times New Roman"/>
          <w:sz w:val="30"/>
          <w:szCs w:val="30"/>
          <w:highlight w:val="none"/>
        </w:rPr>
        <w:t>付款要求。根据历史经验，相当一部分到期的存款并不会在到期日立即提走，而是续留本行，但同时为确保应对不可预料的资金需求，本行规定了最低的资金存量标准。</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color w:val="auto"/>
          <w:sz w:val="30"/>
          <w:szCs w:val="30"/>
          <w:highlight w:val="none"/>
        </w:rPr>
        <w:t>20</w:t>
      </w:r>
      <w:r>
        <w:rPr>
          <w:rFonts w:hint="default" w:ascii="Times New Roman" w:hAnsi="Times New Roman" w:eastAsia="仿宋_GB2312" w:cs="Times New Roman"/>
          <w:color w:val="auto"/>
          <w:sz w:val="30"/>
          <w:szCs w:val="30"/>
          <w:highlight w:val="none"/>
          <w:lang w:val="en-US"/>
        </w:rPr>
        <w:t>2</w:t>
      </w:r>
      <w:r>
        <w:rPr>
          <w:rFonts w:hint="default" w:ascii="Times New Roman" w:hAnsi="Times New Roman" w:eastAsia="仿宋_GB2312" w:cs="Times New Roman"/>
          <w:color w:val="auto"/>
          <w:sz w:val="30"/>
          <w:szCs w:val="30"/>
          <w:highlight w:val="none"/>
          <w:lang w:val="en-US" w:eastAsia="zh-CN"/>
        </w:rPr>
        <w:t>4</w:t>
      </w:r>
      <w:r>
        <w:rPr>
          <w:rFonts w:hint="default" w:ascii="Times New Roman" w:hAnsi="Times New Roman" w:eastAsia="仿宋_GB2312" w:cs="Times New Roman"/>
          <w:color w:val="auto"/>
          <w:sz w:val="30"/>
          <w:szCs w:val="30"/>
          <w:highlight w:val="none"/>
        </w:rPr>
        <w:t>年度，本行开展了流动性风险压力测试及评估工作，定量评估利率市场化对流动性风险管理的具体影</w:t>
      </w:r>
      <w:r>
        <w:rPr>
          <w:rFonts w:hint="default" w:ascii="Times New Roman" w:hAnsi="Times New Roman" w:eastAsia="仿宋_GB2312" w:cs="Times New Roman"/>
          <w:sz w:val="30"/>
          <w:szCs w:val="30"/>
          <w:highlight w:val="none"/>
        </w:rPr>
        <w:t>响；同时，本行还积极采取各项措施，保持存款稳定增长，避免出现持续流失；加强资金头寸管理，合理配置同业业务与投资期限结构，正确把握好资金流动性与盈利性之间的关系。</w:t>
      </w:r>
    </w:p>
    <w:p>
      <w:pPr>
        <w:keepNext w:val="0"/>
        <w:keepLines w:val="0"/>
        <w:pageBreakBefore w:val="0"/>
        <w:kinsoku/>
        <w:wordWrap/>
        <w:overflowPunct/>
        <w:topLinePunct w:val="0"/>
        <w:bidi w:val="0"/>
        <w:snapToGrid/>
        <w:spacing w:line="560" w:lineRule="exact"/>
        <w:ind w:firstLine="602"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sz w:val="30"/>
          <w:szCs w:val="30"/>
          <w:highlight w:val="none"/>
        </w:rPr>
        <w:t>8.4  操作风险</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sz w:val="30"/>
          <w:szCs w:val="30"/>
          <w:highlight w:val="none"/>
        </w:rPr>
        <w:t>操作风险是指由于不完善或有问题的内部操作过程、人员、系统或外部事件而导致的直接或间接损失的风险。本行已</w:t>
      </w:r>
      <w:r>
        <w:rPr>
          <w:rFonts w:hint="default" w:ascii="Times New Roman" w:hAnsi="Times New Roman" w:eastAsia="仿宋_GB2312" w:cs="Times New Roman"/>
          <w:color w:val="auto"/>
          <w:sz w:val="30"/>
          <w:szCs w:val="30"/>
          <w:highlight w:val="none"/>
        </w:rPr>
        <w:t>建立了适当的政策和程序去降低日常经营中可能发生的风险。</w:t>
      </w:r>
      <w:r>
        <w:rPr>
          <w:rFonts w:hint="default" w:ascii="Times New Roman" w:hAnsi="Times New Roman" w:eastAsia="仿宋_GB2312" w:cs="Times New Roman"/>
          <w:sz w:val="30"/>
          <w:szCs w:val="30"/>
          <w:highlight w:val="none"/>
        </w:rPr>
        <w:t>程序包括对岗位控制方面的AB角设定、重要资产的保管制度、要求编制人和审核人在每笔交易的传票上签名、设置操作权限、设定业务审批限额、关键岗位的轮岗和强制休假等。同时，本行的管理层具备充分的经验和能力，能够保证控制程序在日常运作中得以有效地实施。本行各个业务部门都建立有较详细的工作流程和相关的操作手册，并定期进行更新和人员培训，从程序上降低了操作风险。员工都有较明确的授权，包括员工的业务操作范围和批准的操作权限。</w:t>
      </w:r>
    </w:p>
    <w:p>
      <w:pPr>
        <w:keepNext w:val="0"/>
        <w:keepLines w:val="0"/>
        <w:pageBreakBefore w:val="0"/>
        <w:kinsoku/>
        <w:wordWrap/>
        <w:overflowPunct/>
        <w:topLinePunct w:val="0"/>
        <w:bidi w:val="0"/>
        <w:snapToGrid/>
        <w:spacing w:line="560" w:lineRule="exact"/>
        <w:ind w:firstLine="602"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sz w:val="30"/>
          <w:szCs w:val="30"/>
          <w:highlight w:val="none"/>
        </w:rPr>
        <w:t>8.5  其他风险</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声誉风险方面：我行将声誉风险纳入到全面风险管理体系，完善了声誉风险管理机制，积极开展声誉风险培训，与信息科技公司合作，全面提高舆情检测力度，持续提升舆情应对处置能力，不断加强对重点领域和关键环节的控制，报告期内无重大声誉风险事件发生。</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kern w:val="0"/>
          <w:sz w:val="30"/>
          <w:szCs w:val="30"/>
          <w:highlight w:val="none"/>
        </w:rPr>
        <w:t>法律与合规风险方面：本公司在报告期内无重大损失性事件、无重大违规违法案件发生。</w:t>
      </w:r>
    </w:p>
    <w:p>
      <w:pPr>
        <w:keepNext w:val="0"/>
        <w:keepLines w:val="0"/>
        <w:pageBreakBefore w:val="0"/>
        <w:kinsoku/>
        <w:wordWrap/>
        <w:overflowPunct/>
        <w:topLinePunct w:val="0"/>
        <w:bidi w:val="0"/>
        <w:snapToGrid/>
        <w:spacing w:line="560" w:lineRule="exact"/>
        <w:ind w:left="479" w:leftChars="228" w:firstLine="12" w:firstLineChars="4"/>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sz w:val="30"/>
          <w:szCs w:val="30"/>
          <w:highlight w:val="none"/>
        </w:rPr>
        <w:t>9</w:t>
      </w:r>
      <w:r>
        <w:rPr>
          <w:rFonts w:hint="default" w:ascii="Times New Roman" w:hAnsi="Times New Roman" w:eastAsia="仿宋_GB2312" w:cs="Times New Roman"/>
          <w:b/>
          <w:sz w:val="30"/>
          <w:szCs w:val="30"/>
          <w:highlight w:val="none"/>
          <w:lang w:eastAsia="zh-CN"/>
        </w:rPr>
        <w:t>、</w:t>
      </w:r>
      <w:r>
        <w:rPr>
          <w:rFonts w:hint="default" w:ascii="Times New Roman" w:hAnsi="Times New Roman" w:eastAsia="仿宋_GB2312" w:cs="Times New Roman"/>
          <w:b/>
          <w:sz w:val="30"/>
          <w:szCs w:val="30"/>
          <w:highlight w:val="none"/>
        </w:rPr>
        <w:t>股东情况</w:t>
      </w:r>
    </w:p>
    <w:p>
      <w:pPr>
        <w:keepNext w:val="0"/>
        <w:keepLines w:val="0"/>
        <w:pageBreakBefore w:val="0"/>
        <w:kinsoku/>
        <w:wordWrap/>
        <w:overflowPunct/>
        <w:topLinePunct w:val="0"/>
        <w:bidi w:val="0"/>
        <w:adjustRightInd w:val="0"/>
        <w:snapToGrid/>
        <w:spacing w:line="560" w:lineRule="exact"/>
        <w:ind w:firstLine="600" w:firstLineChars="200"/>
        <w:rPr>
          <w:rFonts w:hint="default" w:ascii="Times New Roman" w:hAnsi="Times New Roman" w:eastAsia="仿宋_GB2312" w:cs="Times New Roman"/>
          <w:b w:val="0"/>
          <w:i w:val="0"/>
          <w:caps w:val="0"/>
          <w:color w:val="auto"/>
          <w:spacing w:val="0"/>
          <w:kern w:val="0"/>
          <w:sz w:val="30"/>
          <w:szCs w:val="30"/>
          <w:highlight w:val="none"/>
          <w:lang w:eastAsia="zh-CN"/>
        </w:rPr>
      </w:pPr>
      <w:r>
        <w:rPr>
          <w:rFonts w:hint="default" w:ascii="Times New Roman" w:hAnsi="Times New Roman" w:eastAsia="仿宋_GB2312" w:cs="Times New Roman"/>
          <w:b w:val="0"/>
          <w:i w:val="0"/>
          <w:caps w:val="0"/>
          <w:color w:val="auto"/>
          <w:spacing w:val="0"/>
          <w:kern w:val="0"/>
          <w:sz w:val="30"/>
          <w:szCs w:val="30"/>
          <w:highlight w:val="none"/>
          <w:shd w:val="clear" w:color="auto" w:fill="auto"/>
        </w:rPr>
        <w:t>浙</w:t>
      </w:r>
      <w:r>
        <w:rPr>
          <w:rFonts w:hint="default" w:ascii="Times New Roman" w:hAnsi="Times New Roman" w:eastAsia="仿宋_GB2312" w:cs="Times New Roman"/>
          <w:b w:val="0"/>
          <w:i w:val="0"/>
          <w:caps w:val="0"/>
          <w:color w:val="auto"/>
          <w:spacing w:val="0"/>
          <w:kern w:val="0"/>
          <w:sz w:val="30"/>
          <w:szCs w:val="30"/>
          <w:highlight w:val="none"/>
        </w:rPr>
        <w:t>江稠州商业银行注册资本35亿元，202</w:t>
      </w:r>
      <w:r>
        <w:rPr>
          <w:rFonts w:hint="default" w:ascii="Times New Roman" w:hAnsi="Times New Roman" w:eastAsia="仿宋_GB2312" w:cs="Times New Roman"/>
          <w:b w:val="0"/>
          <w:i w:val="0"/>
          <w:caps w:val="0"/>
          <w:color w:val="auto"/>
          <w:spacing w:val="0"/>
          <w:kern w:val="0"/>
          <w:sz w:val="30"/>
          <w:szCs w:val="30"/>
          <w:highlight w:val="none"/>
          <w:lang w:val="en-US" w:eastAsia="zh-CN"/>
        </w:rPr>
        <w:t>2</w:t>
      </w:r>
      <w:r>
        <w:rPr>
          <w:rFonts w:hint="default" w:ascii="Times New Roman" w:hAnsi="Times New Roman" w:eastAsia="仿宋_GB2312" w:cs="Times New Roman"/>
          <w:b w:val="0"/>
          <w:i w:val="0"/>
          <w:caps w:val="0"/>
          <w:color w:val="auto"/>
          <w:spacing w:val="0"/>
          <w:kern w:val="0"/>
          <w:sz w:val="30"/>
          <w:szCs w:val="30"/>
          <w:highlight w:val="none"/>
        </w:rPr>
        <w:t>年末资产总额</w:t>
      </w:r>
      <w:r>
        <w:rPr>
          <w:rFonts w:hint="default" w:ascii="Times New Roman" w:hAnsi="Times New Roman" w:eastAsia="仿宋_GB2312" w:cs="Times New Roman"/>
          <w:b w:val="0"/>
          <w:i w:val="0"/>
          <w:caps w:val="0"/>
          <w:color w:val="auto"/>
          <w:spacing w:val="0"/>
          <w:kern w:val="0"/>
          <w:sz w:val="30"/>
          <w:szCs w:val="30"/>
          <w:highlight w:val="none"/>
          <w:lang w:val="en-US" w:eastAsia="zh-CN"/>
        </w:rPr>
        <w:t>3270</w:t>
      </w:r>
      <w:r>
        <w:rPr>
          <w:rFonts w:hint="default" w:ascii="Times New Roman" w:hAnsi="Times New Roman" w:eastAsia="仿宋_GB2312" w:cs="Times New Roman"/>
          <w:b w:val="0"/>
          <w:i w:val="0"/>
          <w:caps w:val="0"/>
          <w:color w:val="auto"/>
          <w:spacing w:val="0"/>
          <w:kern w:val="0"/>
          <w:sz w:val="30"/>
          <w:szCs w:val="30"/>
          <w:highlight w:val="none"/>
        </w:rPr>
        <w:t>亿元，</w:t>
      </w:r>
      <w:r>
        <w:rPr>
          <w:rFonts w:hint="default" w:ascii="Times New Roman" w:hAnsi="Times New Roman" w:eastAsia="仿宋_GB2312" w:cs="Times New Roman"/>
          <w:b w:val="0"/>
          <w:i w:val="0"/>
          <w:caps w:val="0"/>
          <w:color w:val="auto"/>
          <w:spacing w:val="0"/>
          <w:kern w:val="0"/>
          <w:sz w:val="30"/>
          <w:szCs w:val="30"/>
          <w:highlight w:val="none"/>
          <w:lang w:val="en-US" w:eastAsia="zh-CN"/>
        </w:rPr>
        <w:t>2022</w:t>
      </w:r>
      <w:r>
        <w:rPr>
          <w:rFonts w:hint="default" w:ascii="Times New Roman" w:hAnsi="Times New Roman" w:eastAsia="仿宋_GB2312" w:cs="Times New Roman"/>
          <w:b w:val="0"/>
          <w:i w:val="0"/>
          <w:caps w:val="0"/>
          <w:color w:val="auto"/>
          <w:spacing w:val="0"/>
          <w:kern w:val="0"/>
          <w:sz w:val="30"/>
          <w:szCs w:val="30"/>
          <w:highlight w:val="none"/>
        </w:rPr>
        <w:t>年末下设义乌管理部及金华分行等14个分行，下辖18</w:t>
      </w:r>
      <w:r>
        <w:rPr>
          <w:rFonts w:hint="default" w:ascii="Times New Roman" w:hAnsi="Times New Roman" w:eastAsia="仿宋_GB2312" w:cs="Times New Roman"/>
          <w:b w:val="0"/>
          <w:i w:val="0"/>
          <w:caps w:val="0"/>
          <w:color w:val="auto"/>
          <w:spacing w:val="0"/>
          <w:kern w:val="0"/>
          <w:sz w:val="30"/>
          <w:szCs w:val="30"/>
          <w:highlight w:val="none"/>
          <w:lang w:val="en-US" w:eastAsia="zh-CN"/>
        </w:rPr>
        <w:t>7</w:t>
      </w:r>
      <w:r>
        <w:rPr>
          <w:rFonts w:hint="default" w:ascii="Times New Roman" w:hAnsi="Times New Roman" w:eastAsia="仿宋_GB2312" w:cs="Times New Roman"/>
          <w:b w:val="0"/>
          <w:i w:val="0"/>
          <w:caps w:val="0"/>
          <w:color w:val="auto"/>
          <w:spacing w:val="0"/>
          <w:kern w:val="0"/>
          <w:sz w:val="30"/>
          <w:szCs w:val="30"/>
          <w:highlight w:val="none"/>
        </w:rPr>
        <w:t>个支行。发起成立村镇银行9家及金融租赁公司1家，202</w:t>
      </w:r>
      <w:r>
        <w:rPr>
          <w:rFonts w:hint="default" w:ascii="Times New Roman" w:hAnsi="Times New Roman" w:eastAsia="仿宋_GB2312" w:cs="Times New Roman"/>
          <w:b w:val="0"/>
          <w:i w:val="0"/>
          <w:caps w:val="0"/>
          <w:color w:val="auto"/>
          <w:spacing w:val="0"/>
          <w:kern w:val="0"/>
          <w:sz w:val="30"/>
          <w:szCs w:val="30"/>
          <w:highlight w:val="none"/>
          <w:lang w:val="en-US" w:eastAsia="zh-CN"/>
        </w:rPr>
        <w:t>2</w:t>
      </w:r>
      <w:r>
        <w:rPr>
          <w:rFonts w:hint="default" w:ascii="Times New Roman" w:hAnsi="Times New Roman" w:eastAsia="仿宋_GB2312" w:cs="Times New Roman"/>
          <w:b w:val="0"/>
          <w:i w:val="0"/>
          <w:caps w:val="0"/>
          <w:color w:val="auto"/>
          <w:spacing w:val="0"/>
          <w:kern w:val="0"/>
          <w:sz w:val="30"/>
          <w:szCs w:val="30"/>
          <w:highlight w:val="none"/>
        </w:rPr>
        <w:t>年英国《银行家》全球银行排名第360位。</w:t>
      </w:r>
    </w:p>
    <w:p>
      <w:pPr>
        <w:keepNext w:val="0"/>
        <w:keepLines w:val="0"/>
        <w:pageBreakBefore w:val="0"/>
        <w:kinsoku/>
        <w:wordWrap/>
        <w:overflowPunct/>
        <w:topLinePunct w:val="0"/>
        <w:bidi w:val="0"/>
        <w:adjustRightInd w:val="0"/>
        <w:snapToGrid/>
        <w:spacing w:line="560" w:lineRule="exact"/>
        <w:ind w:firstLine="602"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bCs/>
          <w:sz w:val="30"/>
          <w:szCs w:val="30"/>
          <w:highlight w:val="none"/>
        </w:rPr>
        <w:t>10</w:t>
      </w:r>
      <w:r>
        <w:rPr>
          <w:rFonts w:hint="default" w:ascii="Times New Roman" w:hAnsi="Times New Roman" w:eastAsia="仿宋_GB2312" w:cs="Times New Roman"/>
          <w:b/>
          <w:bCs/>
          <w:sz w:val="30"/>
          <w:szCs w:val="30"/>
          <w:highlight w:val="none"/>
          <w:lang w:eastAsia="zh-CN"/>
        </w:rPr>
        <w:t>、</w:t>
      </w:r>
      <w:r>
        <w:rPr>
          <w:rFonts w:hint="default" w:ascii="Times New Roman" w:hAnsi="Times New Roman" w:eastAsia="仿宋_GB2312" w:cs="Times New Roman"/>
          <w:b/>
          <w:bCs/>
          <w:sz w:val="30"/>
          <w:szCs w:val="30"/>
          <w:highlight w:val="none"/>
        </w:rPr>
        <w:t>董事会报告</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color w:val="FF0000"/>
          <w:sz w:val="30"/>
          <w:szCs w:val="30"/>
          <w:highlight w:val="none"/>
          <w:lang w:eastAsia="zh-CN"/>
        </w:rPr>
      </w:pPr>
      <w:r>
        <w:rPr>
          <w:rFonts w:hint="default" w:ascii="Times New Roman" w:hAnsi="Times New Roman" w:eastAsia="仿宋_GB2312" w:cs="Times New Roman"/>
          <w:sz w:val="30"/>
          <w:szCs w:val="30"/>
          <w:highlight w:val="none"/>
        </w:rPr>
        <w:t>报告期内，在监管部门的指导和当地政府的大力支持下，董事会切实履行《公司法》和本行《章程》所赋予的职责，认真贯彻落实</w:t>
      </w:r>
      <w:r>
        <w:rPr>
          <w:rFonts w:hint="default" w:ascii="Times New Roman" w:hAnsi="Times New Roman" w:eastAsia="仿宋_GB2312" w:cs="Times New Roman"/>
          <w:sz w:val="30"/>
          <w:szCs w:val="30"/>
          <w:highlight w:val="none"/>
          <w:lang w:eastAsia="zh-CN"/>
        </w:rPr>
        <w:t>发起行</w:t>
      </w:r>
      <w:r>
        <w:rPr>
          <w:rFonts w:hint="default" w:ascii="Times New Roman" w:hAnsi="Times New Roman" w:eastAsia="仿宋_GB2312" w:cs="Times New Roman"/>
          <w:sz w:val="30"/>
          <w:szCs w:val="30"/>
          <w:highlight w:val="none"/>
        </w:rPr>
        <w:t>各项决议，齐心协力，攻坚克难，</w:t>
      </w:r>
      <w:r>
        <w:rPr>
          <w:rFonts w:hint="default" w:ascii="Times New Roman" w:hAnsi="Times New Roman" w:eastAsia="仿宋_GB2312" w:cs="Times New Roman"/>
          <w:sz w:val="30"/>
          <w:szCs w:val="30"/>
          <w:highlight w:val="none"/>
          <w:lang w:eastAsia="zh-CN"/>
        </w:rPr>
        <w:t>确保稳健经营发展</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zh-CN"/>
        </w:rPr>
        <w:t>我行资产总额</w:t>
      </w:r>
      <w:r>
        <w:rPr>
          <w:rFonts w:hint="default" w:ascii="Times New Roman" w:hAnsi="Times New Roman" w:eastAsia="仿宋_GB2312" w:cs="Times New Roman"/>
          <w:sz w:val="30"/>
          <w:szCs w:val="30"/>
          <w:highlight w:val="none"/>
          <w:lang w:val="en-US" w:eastAsia="zh-CN"/>
        </w:rPr>
        <w:t>96435.94</w:t>
      </w:r>
      <w:r>
        <w:rPr>
          <w:rFonts w:hint="default" w:ascii="Times New Roman" w:hAnsi="Times New Roman" w:eastAsia="仿宋_GB2312" w:cs="Times New Roman"/>
          <w:sz w:val="30"/>
          <w:szCs w:val="30"/>
          <w:highlight w:val="none"/>
          <w:lang w:val="zh-CN"/>
        </w:rPr>
        <w:t>万元，较年初增加</w:t>
      </w:r>
      <w:r>
        <w:rPr>
          <w:rFonts w:hint="default" w:ascii="Times New Roman" w:hAnsi="Times New Roman" w:eastAsia="仿宋_GB2312" w:cs="Times New Roman"/>
          <w:sz w:val="30"/>
          <w:szCs w:val="30"/>
          <w:highlight w:val="none"/>
          <w:lang w:val="en-US" w:eastAsia="zh-CN"/>
        </w:rPr>
        <w:t>20082.83</w:t>
      </w:r>
      <w:r>
        <w:rPr>
          <w:rFonts w:hint="default" w:ascii="Times New Roman" w:hAnsi="Times New Roman" w:eastAsia="仿宋_GB2312" w:cs="Times New Roman"/>
          <w:sz w:val="30"/>
          <w:szCs w:val="30"/>
          <w:highlight w:val="none"/>
          <w:lang w:val="zh-CN"/>
        </w:rPr>
        <w:t>万元，增幅</w:t>
      </w:r>
      <w:r>
        <w:rPr>
          <w:rFonts w:hint="default" w:ascii="Times New Roman" w:hAnsi="Times New Roman" w:eastAsia="仿宋_GB2312" w:cs="Times New Roman"/>
          <w:sz w:val="30"/>
          <w:szCs w:val="30"/>
          <w:highlight w:val="none"/>
          <w:lang w:val="en-US" w:eastAsia="zh-CN"/>
        </w:rPr>
        <w:t>26.3</w:t>
      </w:r>
      <w:r>
        <w:rPr>
          <w:rFonts w:hint="default" w:ascii="Times New Roman" w:hAnsi="Times New Roman" w:eastAsia="仿宋_GB2312" w:cs="Times New Roman"/>
          <w:sz w:val="30"/>
          <w:szCs w:val="30"/>
          <w:highlight w:val="none"/>
          <w:lang w:val="zh-CN"/>
        </w:rPr>
        <w:t>%。负债总额</w:t>
      </w:r>
      <w:r>
        <w:rPr>
          <w:rFonts w:hint="default" w:ascii="Times New Roman" w:hAnsi="Times New Roman" w:eastAsia="仿宋_GB2312" w:cs="Times New Roman"/>
          <w:sz w:val="30"/>
          <w:szCs w:val="30"/>
          <w:highlight w:val="none"/>
          <w:lang w:val="en-US" w:eastAsia="zh-CN"/>
        </w:rPr>
        <w:t>83055.04</w:t>
      </w:r>
      <w:r>
        <w:rPr>
          <w:rFonts w:hint="default" w:ascii="Times New Roman" w:hAnsi="Times New Roman" w:eastAsia="仿宋_GB2312" w:cs="Times New Roman"/>
          <w:sz w:val="30"/>
          <w:szCs w:val="30"/>
          <w:highlight w:val="none"/>
          <w:lang w:val="zh-CN"/>
        </w:rPr>
        <w:t>万元，较年初增加</w:t>
      </w:r>
      <w:r>
        <w:rPr>
          <w:rFonts w:hint="default" w:ascii="Times New Roman" w:hAnsi="Times New Roman" w:eastAsia="仿宋_GB2312" w:cs="Times New Roman"/>
          <w:sz w:val="30"/>
          <w:szCs w:val="30"/>
          <w:highlight w:val="none"/>
          <w:lang w:val="en-US" w:eastAsia="zh-CN"/>
        </w:rPr>
        <w:t>20571.93</w:t>
      </w:r>
      <w:r>
        <w:rPr>
          <w:rFonts w:hint="default" w:ascii="Times New Roman" w:hAnsi="Times New Roman" w:eastAsia="仿宋_GB2312" w:cs="Times New Roman"/>
          <w:sz w:val="30"/>
          <w:szCs w:val="30"/>
          <w:highlight w:val="none"/>
          <w:lang w:val="zh-CN"/>
        </w:rPr>
        <w:t>万元，增幅</w:t>
      </w:r>
      <w:r>
        <w:rPr>
          <w:rFonts w:hint="default" w:ascii="Times New Roman" w:hAnsi="Times New Roman" w:eastAsia="仿宋_GB2312" w:cs="Times New Roman"/>
          <w:sz w:val="30"/>
          <w:szCs w:val="30"/>
          <w:highlight w:val="none"/>
          <w:lang w:val="en-US" w:eastAsia="zh-CN"/>
        </w:rPr>
        <w:t>32.92</w:t>
      </w:r>
      <w:r>
        <w:rPr>
          <w:rFonts w:hint="default" w:ascii="Times New Roman" w:hAnsi="Times New Roman" w:eastAsia="仿宋_GB2312" w:cs="Times New Roman"/>
          <w:sz w:val="30"/>
          <w:szCs w:val="30"/>
          <w:highlight w:val="none"/>
          <w:lang w:val="zh-CN"/>
        </w:rPr>
        <w:t>%，其中：各项存款余额</w:t>
      </w:r>
      <w:r>
        <w:rPr>
          <w:rFonts w:hint="default" w:ascii="Times New Roman" w:hAnsi="Times New Roman" w:eastAsia="仿宋_GB2312" w:cs="Times New Roman"/>
          <w:sz w:val="30"/>
          <w:szCs w:val="30"/>
          <w:highlight w:val="none"/>
          <w:lang w:val="en-US" w:eastAsia="zh-CN"/>
        </w:rPr>
        <w:t>80460.08</w:t>
      </w:r>
      <w:r>
        <w:rPr>
          <w:rFonts w:hint="default" w:ascii="Times New Roman" w:hAnsi="Times New Roman" w:eastAsia="仿宋_GB2312" w:cs="Times New Roman"/>
          <w:sz w:val="30"/>
          <w:szCs w:val="30"/>
          <w:highlight w:val="none"/>
          <w:lang w:val="zh-CN"/>
        </w:rPr>
        <w:t>万元，较年初增加</w:t>
      </w:r>
      <w:r>
        <w:rPr>
          <w:rFonts w:hint="default" w:ascii="Times New Roman" w:hAnsi="Times New Roman" w:eastAsia="仿宋_GB2312" w:cs="Times New Roman"/>
          <w:sz w:val="30"/>
          <w:szCs w:val="30"/>
          <w:highlight w:val="none"/>
          <w:lang w:val="en-US" w:eastAsia="zh-CN"/>
        </w:rPr>
        <w:t>19896.16</w:t>
      </w:r>
      <w:r>
        <w:rPr>
          <w:rFonts w:hint="default" w:ascii="Times New Roman" w:hAnsi="Times New Roman" w:eastAsia="仿宋_GB2312" w:cs="Times New Roman"/>
          <w:sz w:val="30"/>
          <w:szCs w:val="30"/>
          <w:highlight w:val="none"/>
          <w:lang w:val="zh-CN"/>
        </w:rPr>
        <w:t>万元，增幅</w:t>
      </w:r>
      <w:r>
        <w:rPr>
          <w:rFonts w:hint="default" w:ascii="Times New Roman" w:hAnsi="Times New Roman" w:eastAsia="仿宋_GB2312" w:cs="Times New Roman"/>
          <w:sz w:val="30"/>
          <w:szCs w:val="30"/>
          <w:highlight w:val="none"/>
          <w:lang w:val="en-US" w:eastAsia="zh-CN"/>
        </w:rPr>
        <w:t>32.85</w:t>
      </w:r>
      <w:r>
        <w:rPr>
          <w:rFonts w:hint="default" w:ascii="Times New Roman" w:hAnsi="Times New Roman" w:eastAsia="仿宋_GB2312" w:cs="Times New Roman"/>
          <w:sz w:val="30"/>
          <w:szCs w:val="30"/>
          <w:highlight w:val="none"/>
          <w:lang w:val="zh-CN"/>
        </w:rPr>
        <w:t>%，存款年日均</w:t>
      </w:r>
      <w:r>
        <w:rPr>
          <w:rFonts w:hint="default" w:ascii="Times New Roman" w:hAnsi="Times New Roman" w:eastAsia="仿宋_GB2312" w:cs="Times New Roman"/>
          <w:sz w:val="30"/>
          <w:szCs w:val="30"/>
          <w:highlight w:val="none"/>
          <w:lang w:val="en-US" w:eastAsia="zh-CN"/>
        </w:rPr>
        <w:t>74942</w:t>
      </w:r>
      <w:r>
        <w:rPr>
          <w:rFonts w:hint="default" w:ascii="Times New Roman" w:hAnsi="Times New Roman" w:eastAsia="仿宋_GB2312" w:cs="Times New Roman"/>
          <w:sz w:val="30"/>
          <w:szCs w:val="30"/>
          <w:highlight w:val="none"/>
          <w:lang w:val="zh-CN"/>
        </w:rPr>
        <w:t>万元；各项贷款余额</w:t>
      </w:r>
      <w:r>
        <w:rPr>
          <w:rFonts w:hint="default" w:ascii="Times New Roman" w:hAnsi="Times New Roman" w:eastAsia="仿宋_GB2312" w:cs="Times New Roman"/>
          <w:sz w:val="30"/>
          <w:szCs w:val="30"/>
          <w:highlight w:val="none"/>
          <w:lang w:val="en-US" w:eastAsia="zh-CN"/>
        </w:rPr>
        <w:t>60443.95</w:t>
      </w:r>
      <w:r>
        <w:rPr>
          <w:rFonts w:hint="default" w:ascii="Times New Roman" w:hAnsi="Times New Roman" w:eastAsia="仿宋_GB2312" w:cs="Times New Roman"/>
          <w:sz w:val="30"/>
          <w:szCs w:val="30"/>
          <w:highlight w:val="none"/>
          <w:lang w:val="zh-CN"/>
        </w:rPr>
        <w:t>万元，较年初增加</w:t>
      </w:r>
      <w:r>
        <w:rPr>
          <w:rFonts w:hint="default" w:ascii="Times New Roman" w:hAnsi="Times New Roman" w:eastAsia="仿宋_GB2312" w:cs="Times New Roman"/>
          <w:sz w:val="30"/>
          <w:szCs w:val="30"/>
          <w:highlight w:val="none"/>
          <w:lang w:val="en-US" w:eastAsia="zh-CN"/>
        </w:rPr>
        <w:t>8647.12</w:t>
      </w:r>
      <w:r>
        <w:rPr>
          <w:rFonts w:hint="default" w:ascii="Times New Roman" w:hAnsi="Times New Roman" w:eastAsia="仿宋_GB2312" w:cs="Times New Roman"/>
          <w:sz w:val="30"/>
          <w:szCs w:val="30"/>
          <w:highlight w:val="none"/>
          <w:lang w:val="zh-CN"/>
        </w:rPr>
        <w:t>万元，增幅</w:t>
      </w:r>
      <w:r>
        <w:rPr>
          <w:rFonts w:hint="default" w:ascii="Times New Roman" w:hAnsi="Times New Roman" w:eastAsia="仿宋_GB2312" w:cs="Times New Roman"/>
          <w:sz w:val="30"/>
          <w:szCs w:val="30"/>
          <w:highlight w:val="none"/>
          <w:lang w:val="en-US" w:eastAsia="zh-CN"/>
        </w:rPr>
        <w:t>16.69</w:t>
      </w:r>
      <w:r>
        <w:rPr>
          <w:rFonts w:hint="default" w:ascii="Times New Roman" w:hAnsi="Times New Roman" w:eastAsia="仿宋_GB2312" w:cs="Times New Roman"/>
          <w:sz w:val="30"/>
          <w:szCs w:val="30"/>
          <w:highlight w:val="none"/>
          <w:lang w:val="zh-CN"/>
        </w:rPr>
        <w:t>%</w:t>
      </w:r>
      <w:r>
        <w:rPr>
          <w:rFonts w:hint="default" w:ascii="Times New Roman" w:hAnsi="Times New Roman" w:eastAsia="仿宋_GB2312" w:cs="Times New Roman"/>
          <w:sz w:val="30"/>
          <w:szCs w:val="30"/>
          <w:highlight w:val="none"/>
        </w:rPr>
        <w:t>；全年没有发生经济案件和“三防一保”案件。</w:t>
      </w:r>
    </w:p>
    <w:p>
      <w:pPr>
        <w:keepNext w:val="0"/>
        <w:keepLines w:val="0"/>
        <w:pageBreakBefore w:val="0"/>
        <w:kinsoku/>
        <w:wordWrap/>
        <w:overflowPunct/>
        <w:topLinePunct w:val="0"/>
        <w:bidi w:val="0"/>
        <w:snapToGrid/>
        <w:spacing w:line="560" w:lineRule="exact"/>
        <w:ind w:firstLine="602"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bCs/>
          <w:sz w:val="30"/>
          <w:szCs w:val="30"/>
          <w:highlight w:val="none"/>
        </w:rPr>
        <w:t>11</w:t>
      </w:r>
      <w:r>
        <w:rPr>
          <w:rFonts w:hint="default" w:ascii="Times New Roman" w:hAnsi="Times New Roman" w:eastAsia="仿宋_GB2312" w:cs="Times New Roman"/>
          <w:b/>
          <w:bCs/>
          <w:sz w:val="30"/>
          <w:szCs w:val="30"/>
          <w:highlight w:val="none"/>
          <w:lang w:eastAsia="zh-CN"/>
        </w:rPr>
        <w:t>、</w:t>
      </w:r>
      <w:r>
        <w:rPr>
          <w:rFonts w:hint="default" w:ascii="Times New Roman" w:hAnsi="Times New Roman" w:eastAsia="仿宋_GB2312" w:cs="Times New Roman"/>
          <w:b/>
          <w:bCs/>
          <w:sz w:val="30"/>
          <w:szCs w:val="30"/>
          <w:highlight w:val="none"/>
        </w:rPr>
        <w:t>监事会报告</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监事会认为：报告期内，公司依法经营，公司财务情况、关联交易等均不存在问题。未发现公司董事、高级管理层成员执行公司职务时有违反法律法规、《公司章程》或损害公司及股东利益的行为。</w:t>
      </w:r>
    </w:p>
    <w:p>
      <w:pPr>
        <w:keepNext w:val="0"/>
        <w:keepLines w:val="0"/>
        <w:pageBreakBefore w:val="0"/>
        <w:kinsoku/>
        <w:wordWrap/>
        <w:overflowPunct/>
        <w:topLinePunct w:val="0"/>
        <w:bidi w:val="0"/>
        <w:snapToGrid/>
        <w:spacing w:line="560" w:lineRule="exact"/>
        <w:ind w:left="479" w:leftChars="228" w:firstLine="0" w:firstLineChars="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bCs/>
          <w:sz w:val="30"/>
          <w:szCs w:val="30"/>
          <w:highlight w:val="none"/>
        </w:rPr>
        <w:t>12</w:t>
      </w:r>
      <w:r>
        <w:rPr>
          <w:rFonts w:hint="default" w:ascii="Times New Roman" w:hAnsi="Times New Roman" w:eastAsia="仿宋_GB2312" w:cs="Times New Roman"/>
          <w:b/>
          <w:bCs/>
          <w:sz w:val="30"/>
          <w:szCs w:val="30"/>
          <w:highlight w:val="none"/>
          <w:lang w:eastAsia="zh-CN"/>
        </w:rPr>
        <w:t>、</w:t>
      </w:r>
      <w:r>
        <w:rPr>
          <w:rFonts w:hint="default" w:ascii="Times New Roman" w:hAnsi="Times New Roman" w:eastAsia="仿宋_GB2312" w:cs="Times New Roman"/>
          <w:b/>
          <w:bCs/>
          <w:sz w:val="30"/>
          <w:szCs w:val="30"/>
          <w:highlight w:val="none"/>
        </w:rPr>
        <w:t>其它重要事项</w:t>
      </w:r>
      <w:r>
        <w:rPr>
          <w:rFonts w:hint="default" w:ascii="Times New Roman" w:hAnsi="Times New Roman" w:eastAsia="仿宋_GB2312" w:cs="Times New Roman"/>
          <w:sz w:val="30"/>
          <w:szCs w:val="30"/>
          <w:highlight w:val="none"/>
        </w:rPr>
        <w:br w:type="textWrapping"/>
      </w:r>
      <w:r>
        <w:rPr>
          <w:rFonts w:hint="default" w:ascii="Times New Roman" w:hAnsi="Times New Roman" w:eastAsia="仿宋_GB2312" w:cs="Times New Roman"/>
          <w:b/>
          <w:sz w:val="30"/>
          <w:szCs w:val="30"/>
          <w:highlight w:val="none"/>
        </w:rPr>
        <w:t>12.1重大诉讼仲裁事项</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本公司报告期内有</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起劳动争议诉讼仲裁事项</w:t>
      </w:r>
      <w:r>
        <w:rPr>
          <w:rFonts w:hint="default" w:ascii="Times New Roman" w:hAnsi="Times New Roman" w:eastAsia="仿宋_GB2312" w:cs="Times New Roman"/>
          <w:sz w:val="30"/>
          <w:szCs w:val="30"/>
          <w:highlight w:val="none"/>
          <w:lang w:eastAsia="zh-CN"/>
        </w:rPr>
        <w:t>。</w:t>
      </w:r>
    </w:p>
    <w:p>
      <w:pPr>
        <w:keepNext w:val="0"/>
        <w:keepLines w:val="0"/>
        <w:pageBreakBefore w:val="0"/>
        <w:kinsoku/>
        <w:wordWrap/>
        <w:overflowPunct/>
        <w:topLinePunct w:val="0"/>
        <w:bidi w:val="0"/>
        <w:snapToGrid/>
        <w:spacing w:line="560" w:lineRule="exact"/>
        <w:ind w:left="420" w:leftChars="200" w:firstLine="12" w:firstLineChars="4"/>
        <w:rPr>
          <w:rFonts w:hint="default" w:ascii="Times New Roman" w:hAnsi="Times New Roman" w:eastAsia="仿宋_GB2312" w:cs="Times New Roman"/>
          <w:b/>
          <w:sz w:val="30"/>
          <w:szCs w:val="30"/>
          <w:highlight w:val="none"/>
          <w:lang w:val="en-US" w:eastAsia="zh-CN"/>
        </w:rPr>
      </w:pPr>
      <w:r>
        <w:rPr>
          <w:rFonts w:hint="default" w:ascii="Times New Roman" w:hAnsi="Times New Roman" w:eastAsia="仿宋_GB2312" w:cs="Times New Roman"/>
          <w:b/>
          <w:sz w:val="30"/>
          <w:szCs w:val="30"/>
          <w:highlight w:val="none"/>
          <w:lang w:val="en-US" w:eastAsia="zh-CN"/>
        </w:rPr>
        <w:t>12.2 其他投诉</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t>本年度，我行共受理金融消费者投诉</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起；接受客户电话咨询</w:t>
      </w:r>
      <w:r>
        <w:rPr>
          <w:rFonts w:hint="default" w:ascii="Times New Roman" w:hAnsi="Times New Roman" w:eastAsia="仿宋_GB2312" w:cs="Times New Roman"/>
          <w:sz w:val="30"/>
          <w:szCs w:val="30"/>
          <w:highlight w:val="none"/>
          <w:lang w:val="en-US" w:eastAsia="zh-CN"/>
        </w:rPr>
        <w:t>82</w:t>
      </w:r>
      <w:r>
        <w:rPr>
          <w:rFonts w:hint="default" w:ascii="Times New Roman" w:hAnsi="Times New Roman" w:eastAsia="仿宋_GB2312" w:cs="Times New Roman"/>
          <w:sz w:val="30"/>
          <w:szCs w:val="30"/>
          <w:highlight w:val="none"/>
        </w:rPr>
        <w:t>余次、营业网点意见簿客户建议0条，主要围绕我行开展支付结算、账户开立、存（贷）款业务咨询、优质文明服务建议等方面。</w:t>
      </w:r>
    </w:p>
    <w:p>
      <w:pPr>
        <w:keepNext w:val="0"/>
        <w:keepLines w:val="0"/>
        <w:pageBreakBefore w:val="0"/>
        <w:kinsoku/>
        <w:wordWrap/>
        <w:overflowPunct/>
        <w:topLinePunct w:val="0"/>
        <w:bidi w:val="0"/>
        <w:snapToGrid/>
        <w:spacing w:line="560" w:lineRule="exact"/>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 xml:space="preserve">    12.</w:t>
      </w:r>
      <w:r>
        <w:rPr>
          <w:rFonts w:hint="default" w:ascii="Times New Roman" w:hAnsi="Times New Roman" w:eastAsia="仿宋_GB2312" w:cs="Times New Roman"/>
          <w:b/>
          <w:sz w:val="30"/>
          <w:szCs w:val="30"/>
          <w:highlight w:val="none"/>
          <w:lang w:val="en-US" w:eastAsia="zh-CN"/>
        </w:rPr>
        <w:t>3</w:t>
      </w:r>
      <w:r>
        <w:rPr>
          <w:rFonts w:hint="default" w:ascii="Times New Roman" w:hAnsi="Times New Roman" w:eastAsia="仿宋_GB2312" w:cs="Times New Roman"/>
          <w:b/>
          <w:sz w:val="30"/>
          <w:szCs w:val="30"/>
          <w:highlight w:val="none"/>
        </w:rPr>
        <w:t>重大托管、担保、承诺、委托资产管理事项</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sz w:val="30"/>
          <w:szCs w:val="30"/>
          <w:highlight w:val="none"/>
        </w:rPr>
        <w:t>本公司报告期内无重大托管、担保、承诺、委托资产管理事项。</w:t>
      </w:r>
    </w:p>
    <w:p>
      <w:pPr>
        <w:keepNext w:val="0"/>
        <w:keepLines w:val="0"/>
        <w:pageBreakBefore w:val="0"/>
        <w:kinsoku/>
        <w:wordWrap/>
        <w:overflowPunct/>
        <w:topLinePunct w:val="0"/>
        <w:bidi w:val="0"/>
        <w:snapToGrid/>
        <w:spacing w:line="560" w:lineRule="exact"/>
        <w:ind w:firstLine="602" w:firstLineChars="200"/>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b/>
          <w:sz w:val="30"/>
          <w:szCs w:val="30"/>
          <w:highlight w:val="none"/>
        </w:rPr>
        <w:t>12.</w:t>
      </w:r>
      <w:r>
        <w:rPr>
          <w:rFonts w:hint="default" w:ascii="Times New Roman" w:hAnsi="Times New Roman" w:eastAsia="仿宋_GB2312" w:cs="Times New Roman"/>
          <w:b/>
          <w:sz w:val="30"/>
          <w:szCs w:val="30"/>
          <w:highlight w:val="none"/>
          <w:lang w:val="en-US" w:eastAsia="zh-CN"/>
        </w:rPr>
        <w:t>4</w:t>
      </w:r>
      <w:r>
        <w:rPr>
          <w:rFonts w:hint="default" w:ascii="Times New Roman" w:hAnsi="Times New Roman" w:eastAsia="仿宋_GB2312" w:cs="Times New Roman"/>
          <w:b/>
          <w:sz w:val="30"/>
          <w:szCs w:val="30"/>
          <w:highlight w:val="none"/>
        </w:rPr>
        <w:t>关联交易情况</w:t>
      </w:r>
    </w:p>
    <w:p>
      <w:pPr>
        <w:keepNext w:val="0"/>
        <w:keepLines w:val="0"/>
        <w:pageBreakBefore w:val="0"/>
        <w:kinsoku/>
        <w:wordWrap/>
        <w:overflowPunct/>
        <w:topLinePunct w:val="0"/>
        <w:bidi w:val="0"/>
        <w:snapToGrid/>
        <w:spacing w:line="560" w:lineRule="exact"/>
        <w:ind w:firstLine="600" w:firstLineChars="200"/>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sz w:val="30"/>
          <w:szCs w:val="30"/>
          <w:highlight w:val="none"/>
        </w:rPr>
        <w:t>本公司在处理关联交易时，遵循诚实信用和公允的商业原则，严格按照有关法律法规和公司制定的相关规章制度，以不优于非关联方同类型交易的条件进行操作。</w:t>
      </w:r>
      <w:r>
        <w:rPr>
          <w:rFonts w:hint="default" w:ascii="Times New Roman" w:hAnsi="Times New Roman" w:eastAsia="仿宋_GB2312" w:cs="Times New Roman"/>
          <w:kern w:val="0"/>
          <w:sz w:val="30"/>
          <w:szCs w:val="30"/>
          <w:highlight w:val="none"/>
        </w:rPr>
        <w:t>报告期内无向持有本行5%及5%以上股份的股东收取的贷款利息收入的事项；无对董事、关键管理人员的贷款。</w:t>
      </w:r>
    </w:p>
    <w:p>
      <w:pPr>
        <w:keepNext w:val="0"/>
        <w:keepLines w:val="0"/>
        <w:pageBreakBefore w:val="0"/>
        <w:kinsoku/>
        <w:wordWrap/>
        <w:overflowPunct/>
        <w:topLinePunct w:val="0"/>
        <w:bidi w:val="0"/>
        <w:snapToGrid/>
        <w:spacing w:line="560" w:lineRule="exact"/>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color w:val="auto"/>
          <w:kern w:val="0"/>
          <w:sz w:val="30"/>
          <w:szCs w:val="30"/>
          <w:highlight w:val="none"/>
          <w:lang w:val="en-US" w:eastAsia="zh-CN"/>
        </w:rPr>
        <w:t>报告期内上报关联交易3笔，为我行存放主发起行浙江稠州商业银行股份有限公司同业存款合计3笔，金额3000万元。</w:t>
      </w:r>
      <w:r>
        <w:rPr>
          <w:rFonts w:hint="default" w:ascii="Times New Roman" w:hAnsi="Times New Roman" w:eastAsia="仿宋_GB2312" w:cs="Times New Roman"/>
          <w:b/>
          <w:sz w:val="30"/>
          <w:szCs w:val="30"/>
          <w:highlight w:val="none"/>
        </w:rPr>
        <w:t xml:space="preserve">    </w:t>
      </w:r>
    </w:p>
    <w:p>
      <w:pPr>
        <w:keepNext w:val="0"/>
        <w:keepLines w:val="0"/>
        <w:pageBreakBefore w:val="0"/>
        <w:kinsoku/>
        <w:wordWrap/>
        <w:overflowPunct/>
        <w:topLinePunct w:val="0"/>
        <w:bidi w:val="0"/>
        <w:snapToGrid/>
        <w:spacing w:line="560" w:lineRule="exact"/>
        <w:ind w:firstLine="602" w:firstLineChars="200"/>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12.</w:t>
      </w:r>
      <w:r>
        <w:rPr>
          <w:rFonts w:hint="default" w:ascii="Times New Roman" w:hAnsi="Times New Roman" w:eastAsia="仿宋_GB2312" w:cs="Times New Roman"/>
          <w:b/>
          <w:sz w:val="30"/>
          <w:szCs w:val="30"/>
          <w:highlight w:val="none"/>
          <w:lang w:val="en-US" w:eastAsia="zh-CN"/>
        </w:rPr>
        <w:t>5</w:t>
      </w:r>
      <w:r>
        <w:rPr>
          <w:rFonts w:hint="default" w:ascii="Times New Roman" w:hAnsi="Times New Roman" w:eastAsia="仿宋_GB2312" w:cs="Times New Roman"/>
          <w:b/>
          <w:sz w:val="30"/>
          <w:szCs w:val="30"/>
          <w:highlight w:val="none"/>
        </w:rPr>
        <w:t>公司董事、监事及高级管理人员接受处罚情况</w:t>
      </w:r>
    </w:p>
    <w:tbl>
      <w:tblPr>
        <w:tblStyle w:val="3"/>
        <w:tblW w:w="8355" w:type="dxa"/>
        <w:tblInd w:w="0" w:type="dxa"/>
        <w:tblLayout w:type="fixed"/>
        <w:tblCellMar>
          <w:top w:w="0" w:type="dxa"/>
          <w:left w:w="0" w:type="dxa"/>
          <w:bottom w:w="0" w:type="dxa"/>
          <w:right w:w="0" w:type="dxa"/>
        </w:tblCellMar>
      </w:tblPr>
      <w:tblGrid>
        <w:gridCol w:w="555"/>
        <w:gridCol w:w="886"/>
        <w:gridCol w:w="1550"/>
        <w:gridCol w:w="1400"/>
        <w:gridCol w:w="1583"/>
        <w:gridCol w:w="767"/>
        <w:gridCol w:w="933"/>
        <w:gridCol w:w="681"/>
      </w:tblGrid>
      <w:tr>
        <w:tblPrEx>
          <w:tblCellMar>
            <w:top w:w="0" w:type="dxa"/>
            <w:left w:w="0" w:type="dxa"/>
            <w:bottom w:w="0" w:type="dxa"/>
            <w:right w:w="0" w:type="dxa"/>
          </w:tblCellMar>
        </w:tblPrEx>
        <w:trPr>
          <w:trHeight w:val="300"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序号</w:t>
            </w:r>
          </w:p>
        </w:tc>
        <w:tc>
          <w:tcPr>
            <w:tcW w:w="8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处罚</w:t>
            </w:r>
            <w:r>
              <w:rPr>
                <w:rFonts w:hint="default" w:ascii="Times New Roman" w:hAnsi="Times New Roman" w:eastAsia="仿宋_GB2312" w:cs="Times New Roman"/>
                <w:color w:val="000000"/>
                <w:kern w:val="0"/>
                <w:sz w:val="24"/>
                <w:szCs w:val="24"/>
                <w:highlight w:val="none"/>
                <w:lang w:bidi="ar"/>
              </w:rPr>
              <w:br w:type="textWrapping"/>
            </w:r>
            <w:r>
              <w:rPr>
                <w:rFonts w:hint="default" w:ascii="Times New Roman" w:hAnsi="Times New Roman" w:eastAsia="仿宋_GB2312" w:cs="Times New Roman"/>
                <w:color w:val="000000"/>
                <w:kern w:val="0"/>
                <w:sz w:val="24"/>
                <w:szCs w:val="24"/>
                <w:highlight w:val="none"/>
                <w:lang w:bidi="ar"/>
              </w:rPr>
              <w:t>对象</w:t>
            </w:r>
          </w:p>
        </w:tc>
        <w:tc>
          <w:tcPr>
            <w:tcW w:w="1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处罚事由</w:t>
            </w:r>
          </w:p>
        </w:tc>
        <w:tc>
          <w:tcPr>
            <w:tcW w:w="14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处罚单位</w:t>
            </w:r>
          </w:p>
        </w:tc>
        <w:tc>
          <w:tcPr>
            <w:tcW w:w="15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处罚决定书</w:t>
            </w:r>
            <w:r>
              <w:rPr>
                <w:rFonts w:hint="default" w:ascii="Times New Roman" w:hAnsi="Times New Roman" w:eastAsia="仿宋_GB2312" w:cs="Times New Roman"/>
                <w:color w:val="000000"/>
                <w:kern w:val="0"/>
                <w:sz w:val="24"/>
                <w:szCs w:val="24"/>
                <w:highlight w:val="none"/>
                <w:lang w:bidi="ar"/>
              </w:rPr>
              <w:br w:type="textWrapping"/>
            </w:r>
            <w:r>
              <w:rPr>
                <w:rFonts w:hint="default" w:ascii="Times New Roman" w:hAnsi="Times New Roman" w:eastAsia="仿宋_GB2312" w:cs="Times New Roman"/>
                <w:color w:val="000000"/>
                <w:kern w:val="0"/>
                <w:sz w:val="24"/>
                <w:szCs w:val="24"/>
                <w:highlight w:val="none"/>
                <w:lang w:bidi="ar"/>
              </w:rPr>
              <w:t>文号</w:t>
            </w:r>
          </w:p>
        </w:tc>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处罚</w:t>
            </w:r>
            <w:r>
              <w:rPr>
                <w:rFonts w:hint="default" w:ascii="Times New Roman" w:hAnsi="Times New Roman" w:eastAsia="仿宋_GB2312" w:cs="Times New Roman"/>
                <w:color w:val="000000"/>
                <w:kern w:val="0"/>
                <w:sz w:val="24"/>
                <w:szCs w:val="24"/>
                <w:highlight w:val="none"/>
                <w:lang w:bidi="ar"/>
              </w:rPr>
              <w:br w:type="textWrapping"/>
            </w:r>
            <w:r>
              <w:rPr>
                <w:rFonts w:hint="default" w:ascii="Times New Roman" w:hAnsi="Times New Roman" w:eastAsia="仿宋_GB2312" w:cs="Times New Roman"/>
                <w:color w:val="000000"/>
                <w:kern w:val="0"/>
                <w:sz w:val="24"/>
                <w:szCs w:val="24"/>
                <w:highlight w:val="none"/>
                <w:lang w:bidi="ar"/>
              </w:rPr>
              <w:t>时间</w:t>
            </w:r>
          </w:p>
        </w:tc>
        <w:tc>
          <w:tcPr>
            <w:tcW w:w="16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color w:val="000000"/>
                <w:sz w:val="24"/>
                <w:szCs w:val="24"/>
                <w:highlight w:val="none"/>
              </w:rPr>
            </w:pPr>
          </w:p>
        </w:tc>
      </w:tr>
      <w:tr>
        <w:tblPrEx>
          <w:tblCellMar>
            <w:top w:w="0" w:type="dxa"/>
            <w:left w:w="0" w:type="dxa"/>
            <w:bottom w:w="0" w:type="dxa"/>
            <w:right w:w="0" w:type="dxa"/>
          </w:tblCellMar>
        </w:tblPrEx>
        <w:trPr>
          <w:trHeight w:val="57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color w:val="000000"/>
                <w:sz w:val="24"/>
                <w:szCs w:val="24"/>
                <w:highlight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color w:val="000000"/>
                <w:sz w:val="24"/>
                <w:szCs w:val="24"/>
                <w:highlight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color w:val="000000"/>
                <w:sz w:val="24"/>
                <w:szCs w:val="24"/>
                <w:highlight w:val="none"/>
              </w:rPr>
            </w:pPr>
          </w:p>
        </w:tc>
        <w:tc>
          <w:tcPr>
            <w:tcW w:w="14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color w:val="000000"/>
                <w:sz w:val="24"/>
                <w:szCs w:val="24"/>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color w:val="000000"/>
                <w:sz w:val="24"/>
                <w:szCs w:val="24"/>
                <w:highlight w:val="none"/>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color w:val="000000"/>
                <w:sz w:val="24"/>
                <w:szCs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罚款金额（万元）</w:t>
            </w: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bidi="ar"/>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处罚</w:t>
            </w:r>
          </w:p>
        </w:tc>
      </w:tr>
      <w:tr>
        <w:tblPrEx>
          <w:tblCellMar>
            <w:top w:w="0" w:type="dxa"/>
            <w:left w:w="0" w:type="dxa"/>
            <w:bottom w:w="0" w:type="dxa"/>
            <w:right w:w="0" w:type="dxa"/>
          </w:tblCellMar>
        </w:tblPrEx>
        <w:trPr>
          <w:trHeight w:val="510" w:hRule="atLeast"/>
        </w:trPr>
        <w:tc>
          <w:tcPr>
            <w:tcW w:w="5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p>
        </w:tc>
        <w:tc>
          <w:tcPr>
            <w:tcW w:w="8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eastAsia="zh-CN" w:bidi="ar"/>
              </w:rPr>
              <w:t>无</w:t>
            </w:r>
          </w:p>
        </w:tc>
        <w:tc>
          <w:tcPr>
            <w:tcW w:w="15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eastAsia="zh-CN" w:bidi="ar"/>
              </w:rPr>
              <w:t>无</w:t>
            </w:r>
          </w:p>
        </w:tc>
        <w:tc>
          <w:tcPr>
            <w:tcW w:w="14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eastAsia="zh-CN" w:bidi="ar"/>
              </w:rPr>
              <w:t>无</w:t>
            </w:r>
          </w:p>
        </w:tc>
        <w:tc>
          <w:tcPr>
            <w:tcW w:w="15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eastAsia="zh-CN" w:bidi="ar"/>
              </w:rPr>
              <w:t>无</w:t>
            </w:r>
          </w:p>
        </w:tc>
        <w:tc>
          <w:tcPr>
            <w:tcW w:w="7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eastAsia="zh-CN" w:bidi="ar"/>
              </w:rPr>
              <w:t>无</w:t>
            </w:r>
          </w:p>
        </w:tc>
        <w:tc>
          <w:tcPr>
            <w:tcW w:w="9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无</w:t>
            </w:r>
          </w:p>
        </w:tc>
        <w:tc>
          <w:tcPr>
            <w:tcW w:w="68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eastAsia="zh-CN" w:bidi="ar"/>
              </w:rPr>
              <w:t>无</w:t>
            </w:r>
          </w:p>
        </w:tc>
      </w:tr>
      <w:tr>
        <w:tblPrEx>
          <w:tblCellMar>
            <w:top w:w="0" w:type="dxa"/>
            <w:left w:w="0" w:type="dxa"/>
            <w:bottom w:w="0" w:type="dxa"/>
            <w:right w:w="0" w:type="dxa"/>
          </w:tblCellMar>
        </w:tblPrEx>
        <w:trPr>
          <w:trHeight w:val="510" w:hRule="atLeast"/>
        </w:trPr>
        <w:tc>
          <w:tcPr>
            <w:tcW w:w="5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szCs w:val="21"/>
                <w:highlight w:val="none"/>
              </w:rPr>
            </w:pPr>
          </w:p>
        </w:tc>
        <w:tc>
          <w:tcPr>
            <w:tcW w:w="8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szCs w:val="21"/>
                <w:highlight w:val="none"/>
              </w:rPr>
            </w:pPr>
          </w:p>
        </w:tc>
        <w:tc>
          <w:tcPr>
            <w:tcW w:w="15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Cs w:val="21"/>
                <w:highlight w:val="none"/>
              </w:rPr>
            </w:pPr>
          </w:p>
        </w:tc>
        <w:tc>
          <w:tcPr>
            <w:tcW w:w="14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szCs w:val="21"/>
                <w:highlight w:val="none"/>
              </w:rPr>
            </w:pPr>
          </w:p>
        </w:tc>
        <w:tc>
          <w:tcPr>
            <w:tcW w:w="15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szCs w:val="21"/>
                <w:highlight w:val="none"/>
              </w:rPr>
            </w:pPr>
          </w:p>
        </w:tc>
        <w:tc>
          <w:tcPr>
            <w:tcW w:w="7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szCs w:val="21"/>
                <w:highlight w:val="none"/>
              </w:rPr>
            </w:pPr>
          </w:p>
        </w:tc>
        <w:tc>
          <w:tcPr>
            <w:tcW w:w="9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szCs w:val="21"/>
                <w:highlight w:val="none"/>
              </w:rPr>
            </w:pPr>
          </w:p>
        </w:tc>
        <w:tc>
          <w:tcPr>
            <w:tcW w:w="68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sz w:val="30"/>
          <w:szCs w:val="30"/>
          <w:highlight w:val="none"/>
        </w:rPr>
        <w:t>12.</w:t>
      </w:r>
      <w:r>
        <w:rPr>
          <w:rFonts w:hint="default" w:ascii="Times New Roman" w:hAnsi="Times New Roman" w:eastAsia="仿宋_GB2312" w:cs="Times New Roman"/>
          <w:b/>
          <w:sz w:val="30"/>
          <w:szCs w:val="30"/>
          <w:highlight w:val="none"/>
          <w:lang w:val="en-US" w:eastAsia="zh-CN"/>
        </w:rPr>
        <w:t>6</w:t>
      </w:r>
      <w:r>
        <w:rPr>
          <w:rFonts w:hint="default" w:ascii="Times New Roman" w:hAnsi="Times New Roman" w:eastAsia="仿宋_GB2312" w:cs="Times New Roman"/>
          <w:b/>
          <w:sz w:val="30"/>
          <w:szCs w:val="30"/>
          <w:highlight w:val="none"/>
        </w:rPr>
        <w:t>聘任、解聘会计师事务所情况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报告期内，本公司续聘上会会计师事务所</w:t>
      </w:r>
      <w:r>
        <w:rPr>
          <w:rFonts w:hint="default" w:ascii="Times New Roman" w:hAnsi="Times New Roman" w:eastAsia="仿宋_GB2312" w:cs="Times New Roman"/>
          <w:sz w:val="30"/>
          <w:szCs w:val="30"/>
          <w:highlight w:val="none"/>
          <w:lang w:eastAsia="zh-CN"/>
        </w:rPr>
        <w:t>（特殊普通合伙）</w:t>
      </w:r>
      <w:r>
        <w:rPr>
          <w:rFonts w:hint="default" w:ascii="Times New Roman" w:hAnsi="Times New Roman" w:eastAsia="仿宋_GB2312" w:cs="Times New Roman"/>
          <w:sz w:val="30"/>
          <w:szCs w:val="30"/>
          <w:highlight w:val="none"/>
        </w:rPr>
        <w:t>担任公司按国内会计准则编制年度财务报</w:t>
      </w:r>
      <w:r>
        <w:rPr>
          <w:rFonts w:hint="default" w:ascii="Times New Roman" w:hAnsi="Times New Roman" w:eastAsia="仿宋_GB2312" w:cs="Times New Roman"/>
          <w:sz w:val="30"/>
          <w:szCs w:val="30"/>
          <w:highlight w:val="none"/>
          <w:lang w:eastAsia="zh-CN"/>
        </w:rPr>
        <w:t>表</w:t>
      </w:r>
      <w:r>
        <w:rPr>
          <w:rFonts w:hint="default" w:ascii="Times New Roman" w:hAnsi="Times New Roman" w:eastAsia="仿宋_GB2312" w:cs="Times New Roman"/>
          <w:sz w:val="30"/>
          <w:szCs w:val="30"/>
          <w:highlight w:val="none"/>
        </w:rPr>
        <w:t>的审计机构。</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bCs/>
          <w:sz w:val="30"/>
          <w:szCs w:val="30"/>
          <w:highlight w:val="none"/>
        </w:rPr>
        <w:t>13</w:t>
      </w:r>
      <w:r>
        <w:rPr>
          <w:rFonts w:hint="default" w:ascii="Times New Roman" w:hAnsi="Times New Roman" w:eastAsia="仿宋_GB2312" w:cs="Times New Roman"/>
          <w:b/>
          <w:bCs/>
          <w:sz w:val="30"/>
          <w:szCs w:val="30"/>
          <w:highlight w:val="none"/>
          <w:lang w:eastAsia="zh-CN"/>
        </w:rPr>
        <w:t>、</w:t>
      </w:r>
      <w:r>
        <w:rPr>
          <w:rFonts w:hint="default" w:ascii="Times New Roman" w:hAnsi="Times New Roman" w:eastAsia="仿宋_GB2312" w:cs="Times New Roman"/>
          <w:b/>
          <w:bCs/>
          <w:sz w:val="30"/>
          <w:szCs w:val="30"/>
          <w:highlight w:val="none"/>
        </w:rPr>
        <w:t>财务报告</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sz w:val="30"/>
          <w:szCs w:val="30"/>
          <w:highlight w:val="none"/>
        </w:rPr>
        <w:t>13.1审计意见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本公司202</w:t>
      </w:r>
      <w:r>
        <w:rPr>
          <w:rFonts w:hint="default" w:ascii="Times New Roman" w:hAnsi="Times New Roman"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rPr>
        <w:t>年度财务报</w:t>
      </w:r>
      <w:r>
        <w:rPr>
          <w:rFonts w:hint="default" w:ascii="Times New Roman" w:hAnsi="Times New Roman" w:eastAsia="仿宋_GB2312" w:cs="Times New Roman"/>
          <w:sz w:val="30"/>
          <w:szCs w:val="30"/>
          <w:highlight w:val="none"/>
          <w:lang w:eastAsia="zh-CN"/>
        </w:rPr>
        <w:t>表</w:t>
      </w:r>
      <w:r>
        <w:rPr>
          <w:rFonts w:hint="default" w:ascii="Times New Roman" w:hAnsi="Times New Roman" w:eastAsia="仿宋_GB2312" w:cs="Times New Roman"/>
          <w:sz w:val="30"/>
          <w:szCs w:val="30"/>
          <w:highlight w:val="none"/>
        </w:rPr>
        <w:t>已经上会会计师事务所</w:t>
      </w:r>
      <w:r>
        <w:rPr>
          <w:rFonts w:hint="default" w:ascii="Times New Roman" w:hAnsi="Times New Roman" w:eastAsia="仿宋_GB2312" w:cs="Times New Roman"/>
          <w:sz w:val="30"/>
          <w:szCs w:val="30"/>
          <w:highlight w:val="none"/>
          <w:lang w:eastAsia="zh-CN"/>
        </w:rPr>
        <w:t>（特殊普通合伙）</w:t>
      </w:r>
      <w:r>
        <w:rPr>
          <w:rFonts w:hint="default" w:ascii="Times New Roman" w:hAnsi="Times New Roman" w:eastAsia="仿宋_GB2312" w:cs="Times New Roman"/>
          <w:sz w:val="30"/>
          <w:szCs w:val="30"/>
          <w:highlight w:val="none"/>
        </w:rPr>
        <w:t>审计，并出具了标准无保留意见审计报告。</w:t>
      </w:r>
    </w:p>
    <w:p>
      <w:pPr>
        <w:pStyle w:val="6"/>
        <w:rPr>
          <w:rFonts w:hint="eastAsia"/>
          <w:lang w:eastAsia="zh-CN"/>
        </w:rPr>
      </w:pPr>
    </w:p>
    <w:p/>
    <w:p>
      <w:pPr>
        <w:pStyle w:val="2"/>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6905F"/>
    <w:multiLevelType w:val="singleLevel"/>
    <w:tmpl w:val="E046905F"/>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E2D48"/>
    <w:rsid w:val="000050A6"/>
    <w:rsid w:val="00051A02"/>
    <w:rsid w:val="000919F6"/>
    <w:rsid w:val="000E6577"/>
    <w:rsid w:val="001120B3"/>
    <w:rsid w:val="00124D7E"/>
    <w:rsid w:val="00143FBC"/>
    <w:rsid w:val="001816E4"/>
    <w:rsid w:val="002A6F8D"/>
    <w:rsid w:val="002E543A"/>
    <w:rsid w:val="00333F09"/>
    <w:rsid w:val="00427C9A"/>
    <w:rsid w:val="004B3C8A"/>
    <w:rsid w:val="004F24A0"/>
    <w:rsid w:val="005126B3"/>
    <w:rsid w:val="00532A2C"/>
    <w:rsid w:val="0057022D"/>
    <w:rsid w:val="00644286"/>
    <w:rsid w:val="007E6B63"/>
    <w:rsid w:val="00815AFC"/>
    <w:rsid w:val="008322FF"/>
    <w:rsid w:val="008629C8"/>
    <w:rsid w:val="00871340"/>
    <w:rsid w:val="008D5DB3"/>
    <w:rsid w:val="009671E4"/>
    <w:rsid w:val="009A1B4D"/>
    <w:rsid w:val="009C0C90"/>
    <w:rsid w:val="009C2A91"/>
    <w:rsid w:val="00A62D76"/>
    <w:rsid w:val="00AE6C4C"/>
    <w:rsid w:val="00C669E2"/>
    <w:rsid w:val="00C8439E"/>
    <w:rsid w:val="00E72DA6"/>
    <w:rsid w:val="00ED00A0"/>
    <w:rsid w:val="00EF1737"/>
    <w:rsid w:val="00F51B73"/>
    <w:rsid w:val="00FA7F9F"/>
    <w:rsid w:val="00FC5FF7"/>
    <w:rsid w:val="01053DB2"/>
    <w:rsid w:val="010A044B"/>
    <w:rsid w:val="0110505C"/>
    <w:rsid w:val="011849B2"/>
    <w:rsid w:val="011D307F"/>
    <w:rsid w:val="011E6499"/>
    <w:rsid w:val="013F0538"/>
    <w:rsid w:val="01514986"/>
    <w:rsid w:val="015A42BF"/>
    <w:rsid w:val="0167572F"/>
    <w:rsid w:val="016D7219"/>
    <w:rsid w:val="01714C3E"/>
    <w:rsid w:val="01730DA4"/>
    <w:rsid w:val="017E76AE"/>
    <w:rsid w:val="01A15BD6"/>
    <w:rsid w:val="01AB2A08"/>
    <w:rsid w:val="01AF17B8"/>
    <w:rsid w:val="01B368C8"/>
    <w:rsid w:val="01B75752"/>
    <w:rsid w:val="01C348E8"/>
    <w:rsid w:val="01C92179"/>
    <w:rsid w:val="01CA2B52"/>
    <w:rsid w:val="01CF4CEA"/>
    <w:rsid w:val="01D02E5B"/>
    <w:rsid w:val="01E773D0"/>
    <w:rsid w:val="01E97E48"/>
    <w:rsid w:val="01EA46C8"/>
    <w:rsid w:val="01ED484B"/>
    <w:rsid w:val="01EF09DE"/>
    <w:rsid w:val="01EF37FC"/>
    <w:rsid w:val="01F35BF1"/>
    <w:rsid w:val="01F54BEA"/>
    <w:rsid w:val="01F670AD"/>
    <w:rsid w:val="01F7375C"/>
    <w:rsid w:val="020C4ECE"/>
    <w:rsid w:val="02191EA1"/>
    <w:rsid w:val="021E0788"/>
    <w:rsid w:val="022E3677"/>
    <w:rsid w:val="0231338F"/>
    <w:rsid w:val="023727D1"/>
    <w:rsid w:val="02390AC7"/>
    <w:rsid w:val="023F7F57"/>
    <w:rsid w:val="02444ECC"/>
    <w:rsid w:val="02450438"/>
    <w:rsid w:val="024A219A"/>
    <w:rsid w:val="024C3596"/>
    <w:rsid w:val="026C0181"/>
    <w:rsid w:val="0271159C"/>
    <w:rsid w:val="027A1EE7"/>
    <w:rsid w:val="02853B67"/>
    <w:rsid w:val="02906692"/>
    <w:rsid w:val="02907AD9"/>
    <w:rsid w:val="029925D6"/>
    <w:rsid w:val="029D74DF"/>
    <w:rsid w:val="02AC6DFF"/>
    <w:rsid w:val="02B25256"/>
    <w:rsid w:val="02B31D61"/>
    <w:rsid w:val="02C9104A"/>
    <w:rsid w:val="02CD0512"/>
    <w:rsid w:val="02D21941"/>
    <w:rsid w:val="02E67B65"/>
    <w:rsid w:val="02EB10F1"/>
    <w:rsid w:val="0308668B"/>
    <w:rsid w:val="0335636D"/>
    <w:rsid w:val="034626F6"/>
    <w:rsid w:val="034B5A57"/>
    <w:rsid w:val="034C5D55"/>
    <w:rsid w:val="0353680E"/>
    <w:rsid w:val="035A5D8D"/>
    <w:rsid w:val="03620A1D"/>
    <w:rsid w:val="03632E76"/>
    <w:rsid w:val="036F2E0A"/>
    <w:rsid w:val="03964825"/>
    <w:rsid w:val="039A0429"/>
    <w:rsid w:val="03A064A6"/>
    <w:rsid w:val="03A128E0"/>
    <w:rsid w:val="03A46152"/>
    <w:rsid w:val="03AC1C9B"/>
    <w:rsid w:val="03AE5768"/>
    <w:rsid w:val="03B90955"/>
    <w:rsid w:val="03BE5586"/>
    <w:rsid w:val="03C64E25"/>
    <w:rsid w:val="03CE3778"/>
    <w:rsid w:val="03D2565D"/>
    <w:rsid w:val="03D7644D"/>
    <w:rsid w:val="03E35BE9"/>
    <w:rsid w:val="03E7248A"/>
    <w:rsid w:val="03ED440D"/>
    <w:rsid w:val="03EF0425"/>
    <w:rsid w:val="03F17369"/>
    <w:rsid w:val="03F30427"/>
    <w:rsid w:val="040B2276"/>
    <w:rsid w:val="04126165"/>
    <w:rsid w:val="041421C6"/>
    <w:rsid w:val="04191F87"/>
    <w:rsid w:val="042909BD"/>
    <w:rsid w:val="0430052E"/>
    <w:rsid w:val="04301AF0"/>
    <w:rsid w:val="043031F6"/>
    <w:rsid w:val="04316E72"/>
    <w:rsid w:val="043349BF"/>
    <w:rsid w:val="043866B6"/>
    <w:rsid w:val="04433CE7"/>
    <w:rsid w:val="04632E60"/>
    <w:rsid w:val="04647E3A"/>
    <w:rsid w:val="046A1C72"/>
    <w:rsid w:val="04883CCA"/>
    <w:rsid w:val="048F2E48"/>
    <w:rsid w:val="04975852"/>
    <w:rsid w:val="04AF4550"/>
    <w:rsid w:val="04B127C7"/>
    <w:rsid w:val="04B701B5"/>
    <w:rsid w:val="04B94257"/>
    <w:rsid w:val="04C151AB"/>
    <w:rsid w:val="04CA37E7"/>
    <w:rsid w:val="04CC73B4"/>
    <w:rsid w:val="04D04135"/>
    <w:rsid w:val="04D13C8A"/>
    <w:rsid w:val="04D2142A"/>
    <w:rsid w:val="04D86F4E"/>
    <w:rsid w:val="04DE2C29"/>
    <w:rsid w:val="04E465F6"/>
    <w:rsid w:val="04E759DD"/>
    <w:rsid w:val="04EA7C7D"/>
    <w:rsid w:val="050B2C4D"/>
    <w:rsid w:val="05111324"/>
    <w:rsid w:val="0527181B"/>
    <w:rsid w:val="05274990"/>
    <w:rsid w:val="052A267F"/>
    <w:rsid w:val="05362446"/>
    <w:rsid w:val="05424660"/>
    <w:rsid w:val="0554166B"/>
    <w:rsid w:val="05557DA5"/>
    <w:rsid w:val="056566B1"/>
    <w:rsid w:val="057E59E1"/>
    <w:rsid w:val="058001A2"/>
    <w:rsid w:val="058833E1"/>
    <w:rsid w:val="058B55B5"/>
    <w:rsid w:val="0590331C"/>
    <w:rsid w:val="059D0FF7"/>
    <w:rsid w:val="05A10FB4"/>
    <w:rsid w:val="05A256A4"/>
    <w:rsid w:val="05AB3BA4"/>
    <w:rsid w:val="05AE174A"/>
    <w:rsid w:val="05B65FE4"/>
    <w:rsid w:val="05C57095"/>
    <w:rsid w:val="05DC252D"/>
    <w:rsid w:val="05E170C5"/>
    <w:rsid w:val="05E44489"/>
    <w:rsid w:val="05F1617F"/>
    <w:rsid w:val="05F62FAA"/>
    <w:rsid w:val="060025CF"/>
    <w:rsid w:val="0608407D"/>
    <w:rsid w:val="060E5AB2"/>
    <w:rsid w:val="061D2F2C"/>
    <w:rsid w:val="062C228F"/>
    <w:rsid w:val="062F37B7"/>
    <w:rsid w:val="06310F83"/>
    <w:rsid w:val="06317E8C"/>
    <w:rsid w:val="06322789"/>
    <w:rsid w:val="063C6C0D"/>
    <w:rsid w:val="063F3FE4"/>
    <w:rsid w:val="06425380"/>
    <w:rsid w:val="06491F4E"/>
    <w:rsid w:val="064B1C97"/>
    <w:rsid w:val="06515C4C"/>
    <w:rsid w:val="0652400F"/>
    <w:rsid w:val="06582917"/>
    <w:rsid w:val="065A79E8"/>
    <w:rsid w:val="0665191E"/>
    <w:rsid w:val="06705D0A"/>
    <w:rsid w:val="06822B0F"/>
    <w:rsid w:val="06837729"/>
    <w:rsid w:val="06850738"/>
    <w:rsid w:val="06862CAD"/>
    <w:rsid w:val="068A1FA0"/>
    <w:rsid w:val="06A37AD5"/>
    <w:rsid w:val="06A83F06"/>
    <w:rsid w:val="06B861D3"/>
    <w:rsid w:val="06BF792F"/>
    <w:rsid w:val="06CD260B"/>
    <w:rsid w:val="06D002D3"/>
    <w:rsid w:val="06D647E0"/>
    <w:rsid w:val="06DE0BDC"/>
    <w:rsid w:val="06FC512C"/>
    <w:rsid w:val="070279F8"/>
    <w:rsid w:val="07112454"/>
    <w:rsid w:val="07207710"/>
    <w:rsid w:val="072708FD"/>
    <w:rsid w:val="0730495A"/>
    <w:rsid w:val="0734310B"/>
    <w:rsid w:val="07415E50"/>
    <w:rsid w:val="075646EA"/>
    <w:rsid w:val="07606C47"/>
    <w:rsid w:val="076A2CFF"/>
    <w:rsid w:val="077610F4"/>
    <w:rsid w:val="07807C29"/>
    <w:rsid w:val="079A58C0"/>
    <w:rsid w:val="07A52A56"/>
    <w:rsid w:val="07B51458"/>
    <w:rsid w:val="07B97D29"/>
    <w:rsid w:val="07C73493"/>
    <w:rsid w:val="07D04A4A"/>
    <w:rsid w:val="07D13149"/>
    <w:rsid w:val="07D51434"/>
    <w:rsid w:val="07D87A40"/>
    <w:rsid w:val="07DB275E"/>
    <w:rsid w:val="07DB6B12"/>
    <w:rsid w:val="07E018B6"/>
    <w:rsid w:val="07E670E9"/>
    <w:rsid w:val="07ED0F4C"/>
    <w:rsid w:val="07F61AC1"/>
    <w:rsid w:val="07FB1763"/>
    <w:rsid w:val="08063E27"/>
    <w:rsid w:val="080832CE"/>
    <w:rsid w:val="080A7CE7"/>
    <w:rsid w:val="080F3B8A"/>
    <w:rsid w:val="08113E7A"/>
    <w:rsid w:val="08120CF1"/>
    <w:rsid w:val="08166A9B"/>
    <w:rsid w:val="08290317"/>
    <w:rsid w:val="082B330B"/>
    <w:rsid w:val="083358E5"/>
    <w:rsid w:val="083856BE"/>
    <w:rsid w:val="083F3404"/>
    <w:rsid w:val="08461573"/>
    <w:rsid w:val="084829AE"/>
    <w:rsid w:val="084F03FC"/>
    <w:rsid w:val="085412DB"/>
    <w:rsid w:val="085F0522"/>
    <w:rsid w:val="08646946"/>
    <w:rsid w:val="086E0525"/>
    <w:rsid w:val="087D1192"/>
    <w:rsid w:val="08861435"/>
    <w:rsid w:val="088B369F"/>
    <w:rsid w:val="089018D4"/>
    <w:rsid w:val="08A81315"/>
    <w:rsid w:val="08AD316E"/>
    <w:rsid w:val="08BD7372"/>
    <w:rsid w:val="08C5480E"/>
    <w:rsid w:val="08CD23C1"/>
    <w:rsid w:val="08D12680"/>
    <w:rsid w:val="08DD3A70"/>
    <w:rsid w:val="08E376A6"/>
    <w:rsid w:val="08EB0B36"/>
    <w:rsid w:val="08EB4AFF"/>
    <w:rsid w:val="08F154BC"/>
    <w:rsid w:val="08FE09E1"/>
    <w:rsid w:val="09056407"/>
    <w:rsid w:val="09102DD8"/>
    <w:rsid w:val="09170FFB"/>
    <w:rsid w:val="091B59B6"/>
    <w:rsid w:val="091E5409"/>
    <w:rsid w:val="09272D4E"/>
    <w:rsid w:val="092A395E"/>
    <w:rsid w:val="092E5B5E"/>
    <w:rsid w:val="092F708D"/>
    <w:rsid w:val="093A4F4E"/>
    <w:rsid w:val="093B1D14"/>
    <w:rsid w:val="093B685C"/>
    <w:rsid w:val="093E69C3"/>
    <w:rsid w:val="09485EC9"/>
    <w:rsid w:val="094D233D"/>
    <w:rsid w:val="094E03CD"/>
    <w:rsid w:val="0961271A"/>
    <w:rsid w:val="096178E8"/>
    <w:rsid w:val="096C4FEC"/>
    <w:rsid w:val="097359B3"/>
    <w:rsid w:val="097B6BC5"/>
    <w:rsid w:val="099665E2"/>
    <w:rsid w:val="09A348C3"/>
    <w:rsid w:val="09A87DB6"/>
    <w:rsid w:val="09B7580E"/>
    <w:rsid w:val="09C603F5"/>
    <w:rsid w:val="09CA07E9"/>
    <w:rsid w:val="09DD2489"/>
    <w:rsid w:val="09E311B4"/>
    <w:rsid w:val="09E74EB6"/>
    <w:rsid w:val="09FD6555"/>
    <w:rsid w:val="0A020827"/>
    <w:rsid w:val="0A1A00C1"/>
    <w:rsid w:val="0A26383C"/>
    <w:rsid w:val="0A292D48"/>
    <w:rsid w:val="0A310EF0"/>
    <w:rsid w:val="0A3D04D3"/>
    <w:rsid w:val="0A405EE4"/>
    <w:rsid w:val="0A5513A5"/>
    <w:rsid w:val="0A683A11"/>
    <w:rsid w:val="0A6B4944"/>
    <w:rsid w:val="0A6B795B"/>
    <w:rsid w:val="0A7E5AC6"/>
    <w:rsid w:val="0A7F5A4F"/>
    <w:rsid w:val="0A822C04"/>
    <w:rsid w:val="0A865ACC"/>
    <w:rsid w:val="0A8A6741"/>
    <w:rsid w:val="0A9B02BE"/>
    <w:rsid w:val="0A9E2F12"/>
    <w:rsid w:val="0AA963EE"/>
    <w:rsid w:val="0AAC130B"/>
    <w:rsid w:val="0AB71B9F"/>
    <w:rsid w:val="0ABD5B27"/>
    <w:rsid w:val="0AD30722"/>
    <w:rsid w:val="0AD715A6"/>
    <w:rsid w:val="0AD86B66"/>
    <w:rsid w:val="0ADB257F"/>
    <w:rsid w:val="0AE36C0B"/>
    <w:rsid w:val="0AF92487"/>
    <w:rsid w:val="0B017046"/>
    <w:rsid w:val="0B087794"/>
    <w:rsid w:val="0B1216A5"/>
    <w:rsid w:val="0B267D11"/>
    <w:rsid w:val="0B27695C"/>
    <w:rsid w:val="0B2E2017"/>
    <w:rsid w:val="0B4208EA"/>
    <w:rsid w:val="0B4A22D4"/>
    <w:rsid w:val="0B4B7F63"/>
    <w:rsid w:val="0B5B6FE5"/>
    <w:rsid w:val="0B5D0627"/>
    <w:rsid w:val="0B6655AE"/>
    <w:rsid w:val="0B6876A4"/>
    <w:rsid w:val="0B786CAC"/>
    <w:rsid w:val="0B952634"/>
    <w:rsid w:val="0BA23F11"/>
    <w:rsid w:val="0BA54FE3"/>
    <w:rsid w:val="0BAF176A"/>
    <w:rsid w:val="0BBB77CE"/>
    <w:rsid w:val="0BD8756F"/>
    <w:rsid w:val="0BD92037"/>
    <w:rsid w:val="0BD94BCF"/>
    <w:rsid w:val="0BE23A5A"/>
    <w:rsid w:val="0BE3682E"/>
    <w:rsid w:val="0BE5786A"/>
    <w:rsid w:val="0BE85812"/>
    <w:rsid w:val="0BF4453F"/>
    <w:rsid w:val="0C013C8A"/>
    <w:rsid w:val="0C040999"/>
    <w:rsid w:val="0C087A17"/>
    <w:rsid w:val="0C0C38B3"/>
    <w:rsid w:val="0C150AF6"/>
    <w:rsid w:val="0C1862A4"/>
    <w:rsid w:val="0C3F750E"/>
    <w:rsid w:val="0C3F76D9"/>
    <w:rsid w:val="0C48348A"/>
    <w:rsid w:val="0C5B740A"/>
    <w:rsid w:val="0C5E1387"/>
    <w:rsid w:val="0C5F7831"/>
    <w:rsid w:val="0C63012E"/>
    <w:rsid w:val="0C653B26"/>
    <w:rsid w:val="0C654B32"/>
    <w:rsid w:val="0C6A7181"/>
    <w:rsid w:val="0C6F5FA8"/>
    <w:rsid w:val="0C7A67AA"/>
    <w:rsid w:val="0C7D6192"/>
    <w:rsid w:val="0C8551FF"/>
    <w:rsid w:val="0C8F0BB0"/>
    <w:rsid w:val="0C9148F7"/>
    <w:rsid w:val="0C946A64"/>
    <w:rsid w:val="0C966CC6"/>
    <w:rsid w:val="0CA52C42"/>
    <w:rsid w:val="0CAB6920"/>
    <w:rsid w:val="0CAD3F54"/>
    <w:rsid w:val="0CB2026D"/>
    <w:rsid w:val="0CB55B63"/>
    <w:rsid w:val="0CB5776F"/>
    <w:rsid w:val="0CC473E7"/>
    <w:rsid w:val="0CC67703"/>
    <w:rsid w:val="0CC960FE"/>
    <w:rsid w:val="0CD06022"/>
    <w:rsid w:val="0CE0792F"/>
    <w:rsid w:val="0CE53A43"/>
    <w:rsid w:val="0CE611D7"/>
    <w:rsid w:val="0CF04417"/>
    <w:rsid w:val="0CF939F2"/>
    <w:rsid w:val="0CFB5E78"/>
    <w:rsid w:val="0CFF583A"/>
    <w:rsid w:val="0D16673E"/>
    <w:rsid w:val="0D1E6705"/>
    <w:rsid w:val="0D286016"/>
    <w:rsid w:val="0D3267F6"/>
    <w:rsid w:val="0D344396"/>
    <w:rsid w:val="0D403BBD"/>
    <w:rsid w:val="0D4407FA"/>
    <w:rsid w:val="0D457FC9"/>
    <w:rsid w:val="0D503A1A"/>
    <w:rsid w:val="0D5764C6"/>
    <w:rsid w:val="0D6F1981"/>
    <w:rsid w:val="0D7357B4"/>
    <w:rsid w:val="0D7474FA"/>
    <w:rsid w:val="0D871B52"/>
    <w:rsid w:val="0D896513"/>
    <w:rsid w:val="0DA87A1A"/>
    <w:rsid w:val="0DAB5015"/>
    <w:rsid w:val="0DC372FD"/>
    <w:rsid w:val="0DC51334"/>
    <w:rsid w:val="0DC96CB9"/>
    <w:rsid w:val="0DCE379D"/>
    <w:rsid w:val="0DCF1F3D"/>
    <w:rsid w:val="0DD265D5"/>
    <w:rsid w:val="0DD656B9"/>
    <w:rsid w:val="0DD70128"/>
    <w:rsid w:val="0DDA2E2A"/>
    <w:rsid w:val="0DDC2207"/>
    <w:rsid w:val="0DDD79CF"/>
    <w:rsid w:val="0DEC2B96"/>
    <w:rsid w:val="0DFC5025"/>
    <w:rsid w:val="0DFD240A"/>
    <w:rsid w:val="0DFD5D49"/>
    <w:rsid w:val="0E0E048C"/>
    <w:rsid w:val="0E1E0C9F"/>
    <w:rsid w:val="0E2005E0"/>
    <w:rsid w:val="0E2232D9"/>
    <w:rsid w:val="0E2827FB"/>
    <w:rsid w:val="0E306A2F"/>
    <w:rsid w:val="0E3732EB"/>
    <w:rsid w:val="0E3F52D4"/>
    <w:rsid w:val="0E47230A"/>
    <w:rsid w:val="0E4C51A4"/>
    <w:rsid w:val="0E4D6788"/>
    <w:rsid w:val="0E4F7B9F"/>
    <w:rsid w:val="0E5B6577"/>
    <w:rsid w:val="0E632CC5"/>
    <w:rsid w:val="0E685286"/>
    <w:rsid w:val="0E695AF1"/>
    <w:rsid w:val="0E9777D1"/>
    <w:rsid w:val="0EA26BFD"/>
    <w:rsid w:val="0EC06D2F"/>
    <w:rsid w:val="0EC147D9"/>
    <w:rsid w:val="0ECD66DA"/>
    <w:rsid w:val="0ED256F5"/>
    <w:rsid w:val="0EDB38F0"/>
    <w:rsid w:val="0EE46FAF"/>
    <w:rsid w:val="0EE94CBE"/>
    <w:rsid w:val="0EF434E2"/>
    <w:rsid w:val="0EF9670F"/>
    <w:rsid w:val="0EFE3B15"/>
    <w:rsid w:val="0F0424A3"/>
    <w:rsid w:val="0F06589C"/>
    <w:rsid w:val="0F0C2B69"/>
    <w:rsid w:val="0F1C13FC"/>
    <w:rsid w:val="0F227782"/>
    <w:rsid w:val="0F2477E9"/>
    <w:rsid w:val="0F31741F"/>
    <w:rsid w:val="0F3229DA"/>
    <w:rsid w:val="0F3A1AEA"/>
    <w:rsid w:val="0F567373"/>
    <w:rsid w:val="0F5B011F"/>
    <w:rsid w:val="0F6C0DB6"/>
    <w:rsid w:val="0F6C239E"/>
    <w:rsid w:val="0F715ED1"/>
    <w:rsid w:val="0F7A2032"/>
    <w:rsid w:val="0F8263F2"/>
    <w:rsid w:val="0F8512FA"/>
    <w:rsid w:val="0FB11FFB"/>
    <w:rsid w:val="0FB27C98"/>
    <w:rsid w:val="0FBE427C"/>
    <w:rsid w:val="0FCB5110"/>
    <w:rsid w:val="0FD435E2"/>
    <w:rsid w:val="0FDF474C"/>
    <w:rsid w:val="0FEA7EE4"/>
    <w:rsid w:val="0FF469BF"/>
    <w:rsid w:val="0FFB3360"/>
    <w:rsid w:val="0FFB733B"/>
    <w:rsid w:val="10016B47"/>
    <w:rsid w:val="100771D3"/>
    <w:rsid w:val="10082F9A"/>
    <w:rsid w:val="10166366"/>
    <w:rsid w:val="102B1A94"/>
    <w:rsid w:val="103343C3"/>
    <w:rsid w:val="10351C1C"/>
    <w:rsid w:val="1039095A"/>
    <w:rsid w:val="1047476D"/>
    <w:rsid w:val="10487EB5"/>
    <w:rsid w:val="10531812"/>
    <w:rsid w:val="10551051"/>
    <w:rsid w:val="105665BA"/>
    <w:rsid w:val="105C4799"/>
    <w:rsid w:val="1068674C"/>
    <w:rsid w:val="106A6F24"/>
    <w:rsid w:val="106C00DF"/>
    <w:rsid w:val="106F2741"/>
    <w:rsid w:val="107101BC"/>
    <w:rsid w:val="107E0B40"/>
    <w:rsid w:val="10842E91"/>
    <w:rsid w:val="10896929"/>
    <w:rsid w:val="10B65C50"/>
    <w:rsid w:val="10B9233C"/>
    <w:rsid w:val="10C129CB"/>
    <w:rsid w:val="10C45A29"/>
    <w:rsid w:val="10CD3428"/>
    <w:rsid w:val="10D02F04"/>
    <w:rsid w:val="10DD4C2D"/>
    <w:rsid w:val="10F87986"/>
    <w:rsid w:val="110B3B65"/>
    <w:rsid w:val="11141F3A"/>
    <w:rsid w:val="11204FF0"/>
    <w:rsid w:val="11235CAF"/>
    <w:rsid w:val="1135311E"/>
    <w:rsid w:val="1135644B"/>
    <w:rsid w:val="11377E30"/>
    <w:rsid w:val="113D012D"/>
    <w:rsid w:val="11436D77"/>
    <w:rsid w:val="1143741D"/>
    <w:rsid w:val="114B111F"/>
    <w:rsid w:val="11545DB3"/>
    <w:rsid w:val="1159290E"/>
    <w:rsid w:val="115A0DBA"/>
    <w:rsid w:val="115B4901"/>
    <w:rsid w:val="115C64BB"/>
    <w:rsid w:val="116940BB"/>
    <w:rsid w:val="1176010B"/>
    <w:rsid w:val="1180001C"/>
    <w:rsid w:val="118C24C5"/>
    <w:rsid w:val="119C3FF9"/>
    <w:rsid w:val="11B066B5"/>
    <w:rsid w:val="11B61AA2"/>
    <w:rsid w:val="11BC539E"/>
    <w:rsid w:val="11BD7540"/>
    <w:rsid w:val="11C02458"/>
    <w:rsid w:val="11C17AE3"/>
    <w:rsid w:val="11DA7407"/>
    <w:rsid w:val="11EB3CEA"/>
    <w:rsid w:val="11F147EA"/>
    <w:rsid w:val="11F20095"/>
    <w:rsid w:val="11F755BB"/>
    <w:rsid w:val="11F75C05"/>
    <w:rsid w:val="120B35ED"/>
    <w:rsid w:val="1212231A"/>
    <w:rsid w:val="12225340"/>
    <w:rsid w:val="122D52DA"/>
    <w:rsid w:val="123A7862"/>
    <w:rsid w:val="12403D7E"/>
    <w:rsid w:val="1242612C"/>
    <w:rsid w:val="12500CD3"/>
    <w:rsid w:val="1255064D"/>
    <w:rsid w:val="125F11FB"/>
    <w:rsid w:val="12640D32"/>
    <w:rsid w:val="126D7689"/>
    <w:rsid w:val="126E70FD"/>
    <w:rsid w:val="12706E95"/>
    <w:rsid w:val="12740F77"/>
    <w:rsid w:val="12775E3E"/>
    <w:rsid w:val="1278278F"/>
    <w:rsid w:val="128010A7"/>
    <w:rsid w:val="12802914"/>
    <w:rsid w:val="12842241"/>
    <w:rsid w:val="12883FB4"/>
    <w:rsid w:val="128B5323"/>
    <w:rsid w:val="128C1652"/>
    <w:rsid w:val="128D6B8F"/>
    <w:rsid w:val="129B51F5"/>
    <w:rsid w:val="129D0868"/>
    <w:rsid w:val="12AA08F3"/>
    <w:rsid w:val="12AC2CA8"/>
    <w:rsid w:val="12AC7BFA"/>
    <w:rsid w:val="12AD2E32"/>
    <w:rsid w:val="12B062E3"/>
    <w:rsid w:val="12BA53A7"/>
    <w:rsid w:val="12C829E7"/>
    <w:rsid w:val="12DC594F"/>
    <w:rsid w:val="12DD776E"/>
    <w:rsid w:val="12E14EED"/>
    <w:rsid w:val="12E27EDA"/>
    <w:rsid w:val="12EB619F"/>
    <w:rsid w:val="12F508E6"/>
    <w:rsid w:val="13055C8F"/>
    <w:rsid w:val="130F4B88"/>
    <w:rsid w:val="131308DE"/>
    <w:rsid w:val="13160616"/>
    <w:rsid w:val="131E1B25"/>
    <w:rsid w:val="13224882"/>
    <w:rsid w:val="1325157E"/>
    <w:rsid w:val="134B2661"/>
    <w:rsid w:val="13535630"/>
    <w:rsid w:val="1354593A"/>
    <w:rsid w:val="136A4128"/>
    <w:rsid w:val="136A51FB"/>
    <w:rsid w:val="13810AB1"/>
    <w:rsid w:val="13844E73"/>
    <w:rsid w:val="138809EC"/>
    <w:rsid w:val="13887C1F"/>
    <w:rsid w:val="139417C6"/>
    <w:rsid w:val="13A810D3"/>
    <w:rsid w:val="13B02E47"/>
    <w:rsid w:val="13B23EA9"/>
    <w:rsid w:val="13B8185E"/>
    <w:rsid w:val="13BC25D7"/>
    <w:rsid w:val="13CA476F"/>
    <w:rsid w:val="13DC2BA2"/>
    <w:rsid w:val="13E71F1F"/>
    <w:rsid w:val="13EE7BE3"/>
    <w:rsid w:val="13F123E9"/>
    <w:rsid w:val="13F43A8C"/>
    <w:rsid w:val="13F93418"/>
    <w:rsid w:val="13F93B15"/>
    <w:rsid w:val="14081515"/>
    <w:rsid w:val="141A61DF"/>
    <w:rsid w:val="14224D78"/>
    <w:rsid w:val="14327D9C"/>
    <w:rsid w:val="14451269"/>
    <w:rsid w:val="144E6739"/>
    <w:rsid w:val="145727FF"/>
    <w:rsid w:val="14635FC7"/>
    <w:rsid w:val="146C0995"/>
    <w:rsid w:val="146C7E13"/>
    <w:rsid w:val="146D5390"/>
    <w:rsid w:val="146D7B20"/>
    <w:rsid w:val="147D3F44"/>
    <w:rsid w:val="14813D24"/>
    <w:rsid w:val="148E5C85"/>
    <w:rsid w:val="14901964"/>
    <w:rsid w:val="1494748D"/>
    <w:rsid w:val="14A75A96"/>
    <w:rsid w:val="14B0364D"/>
    <w:rsid w:val="14B1733B"/>
    <w:rsid w:val="14BC3557"/>
    <w:rsid w:val="14BD0435"/>
    <w:rsid w:val="14DD3401"/>
    <w:rsid w:val="14DE155F"/>
    <w:rsid w:val="14E869E6"/>
    <w:rsid w:val="14F66D6B"/>
    <w:rsid w:val="150135D3"/>
    <w:rsid w:val="151130A3"/>
    <w:rsid w:val="1514485C"/>
    <w:rsid w:val="15165650"/>
    <w:rsid w:val="1519604C"/>
    <w:rsid w:val="15280E5B"/>
    <w:rsid w:val="15342CFC"/>
    <w:rsid w:val="153B3374"/>
    <w:rsid w:val="154319A1"/>
    <w:rsid w:val="154417B7"/>
    <w:rsid w:val="154B3EBF"/>
    <w:rsid w:val="154F2FD7"/>
    <w:rsid w:val="15587310"/>
    <w:rsid w:val="15590C76"/>
    <w:rsid w:val="15645DCB"/>
    <w:rsid w:val="156F57FD"/>
    <w:rsid w:val="157E335E"/>
    <w:rsid w:val="15810B79"/>
    <w:rsid w:val="158245E9"/>
    <w:rsid w:val="158C79CD"/>
    <w:rsid w:val="158E4344"/>
    <w:rsid w:val="159A3B00"/>
    <w:rsid w:val="15A46521"/>
    <w:rsid w:val="15B034AA"/>
    <w:rsid w:val="15C37BF1"/>
    <w:rsid w:val="15CA66F5"/>
    <w:rsid w:val="15CF1C6F"/>
    <w:rsid w:val="15D55FF2"/>
    <w:rsid w:val="15D80983"/>
    <w:rsid w:val="15DB34EE"/>
    <w:rsid w:val="15E714A4"/>
    <w:rsid w:val="15FA163C"/>
    <w:rsid w:val="160155B9"/>
    <w:rsid w:val="1603179D"/>
    <w:rsid w:val="1604693C"/>
    <w:rsid w:val="161E4534"/>
    <w:rsid w:val="1621645B"/>
    <w:rsid w:val="16246C77"/>
    <w:rsid w:val="162B4503"/>
    <w:rsid w:val="162C6931"/>
    <w:rsid w:val="162E532D"/>
    <w:rsid w:val="162F3898"/>
    <w:rsid w:val="1630453F"/>
    <w:rsid w:val="16342031"/>
    <w:rsid w:val="163C28CF"/>
    <w:rsid w:val="16464D5A"/>
    <w:rsid w:val="16512557"/>
    <w:rsid w:val="16554D92"/>
    <w:rsid w:val="16591DDE"/>
    <w:rsid w:val="165F4CD5"/>
    <w:rsid w:val="166400A2"/>
    <w:rsid w:val="166850D0"/>
    <w:rsid w:val="166D6A17"/>
    <w:rsid w:val="1672719E"/>
    <w:rsid w:val="16785EAE"/>
    <w:rsid w:val="167D56C7"/>
    <w:rsid w:val="167D5ABA"/>
    <w:rsid w:val="168200D7"/>
    <w:rsid w:val="168C1F86"/>
    <w:rsid w:val="168D7800"/>
    <w:rsid w:val="168E7CF6"/>
    <w:rsid w:val="16903AC0"/>
    <w:rsid w:val="1691731B"/>
    <w:rsid w:val="169A03F9"/>
    <w:rsid w:val="169B5870"/>
    <w:rsid w:val="16A277DC"/>
    <w:rsid w:val="16B806F8"/>
    <w:rsid w:val="16D16A29"/>
    <w:rsid w:val="16DB6AA3"/>
    <w:rsid w:val="16ED76A5"/>
    <w:rsid w:val="16EF0D8D"/>
    <w:rsid w:val="16F27580"/>
    <w:rsid w:val="16FA71C6"/>
    <w:rsid w:val="16FD7033"/>
    <w:rsid w:val="17011EF9"/>
    <w:rsid w:val="170A3CDA"/>
    <w:rsid w:val="17101103"/>
    <w:rsid w:val="171272DE"/>
    <w:rsid w:val="171A1826"/>
    <w:rsid w:val="171A51DC"/>
    <w:rsid w:val="172027BB"/>
    <w:rsid w:val="17244A33"/>
    <w:rsid w:val="17272BD4"/>
    <w:rsid w:val="1728204E"/>
    <w:rsid w:val="1729737E"/>
    <w:rsid w:val="172A2442"/>
    <w:rsid w:val="172D036F"/>
    <w:rsid w:val="173021B7"/>
    <w:rsid w:val="1738176F"/>
    <w:rsid w:val="17393156"/>
    <w:rsid w:val="17397461"/>
    <w:rsid w:val="173B704C"/>
    <w:rsid w:val="17596D16"/>
    <w:rsid w:val="175A4729"/>
    <w:rsid w:val="175A7BC3"/>
    <w:rsid w:val="17626A9F"/>
    <w:rsid w:val="17655CEE"/>
    <w:rsid w:val="17733282"/>
    <w:rsid w:val="17740508"/>
    <w:rsid w:val="1774726C"/>
    <w:rsid w:val="177614D1"/>
    <w:rsid w:val="17937409"/>
    <w:rsid w:val="179C2BD8"/>
    <w:rsid w:val="17A15B70"/>
    <w:rsid w:val="17A45263"/>
    <w:rsid w:val="17A468FC"/>
    <w:rsid w:val="17AE4394"/>
    <w:rsid w:val="17B17F2C"/>
    <w:rsid w:val="17BA7205"/>
    <w:rsid w:val="17D2268C"/>
    <w:rsid w:val="17DB3FDF"/>
    <w:rsid w:val="17EC58F6"/>
    <w:rsid w:val="17F52A70"/>
    <w:rsid w:val="17F71029"/>
    <w:rsid w:val="17FF30DC"/>
    <w:rsid w:val="18075F80"/>
    <w:rsid w:val="18090C98"/>
    <w:rsid w:val="1819192A"/>
    <w:rsid w:val="181E52AF"/>
    <w:rsid w:val="182A0E32"/>
    <w:rsid w:val="18372864"/>
    <w:rsid w:val="18375BEB"/>
    <w:rsid w:val="183E79E7"/>
    <w:rsid w:val="18444BEA"/>
    <w:rsid w:val="18462D45"/>
    <w:rsid w:val="18463752"/>
    <w:rsid w:val="184D14B0"/>
    <w:rsid w:val="1856510B"/>
    <w:rsid w:val="18591805"/>
    <w:rsid w:val="185E3566"/>
    <w:rsid w:val="18683D45"/>
    <w:rsid w:val="18691D74"/>
    <w:rsid w:val="186A6EB4"/>
    <w:rsid w:val="1876562B"/>
    <w:rsid w:val="187D40DC"/>
    <w:rsid w:val="188C4D37"/>
    <w:rsid w:val="189004AB"/>
    <w:rsid w:val="18905D94"/>
    <w:rsid w:val="189602D2"/>
    <w:rsid w:val="189A7603"/>
    <w:rsid w:val="18AA35B2"/>
    <w:rsid w:val="18B91335"/>
    <w:rsid w:val="18C06C2B"/>
    <w:rsid w:val="18C2111B"/>
    <w:rsid w:val="18C269E9"/>
    <w:rsid w:val="18DB39CC"/>
    <w:rsid w:val="19157A96"/>
    <w:rsid w:val="191E230D"/>
    <w:rsid w:val="19282D1B"/>
    <w:rsid w:val="193A4776"/>
    <w:rsid w:val="194608FF"/>
    <w:rsid w:val="19494920"/>
    <w:rsid w:val="19624E04"/>
    <w:rsid w:val="19634499"/>
    <w:rsid w:val="19702A86"/>
    <w:rsid w:val="1974051C"/>
    <w:rsid w:val="19791568"/>
    <w:rsid w:val="19846404"/>
    <w:rsid w:val="199938B9"/>
    <w:rsid w:val="19A01782"/>
    <w:rsid w:val="19AB0D02"/>
    <w:rsid w:val="19BD759F"/>
    <w:rsid w:val="19C15467"/>
    <w:rsid w:val="19C36DDA"/>
    <w:rsid w:val="19C622DC"/>
    <w:rsid w:val="19CA46C7"/>
    <w:rsid w:val="19D76617"/>
    <w:rsid w:val="19E2199F"/>
    <w:rsid w:val="19E3117C"/>
    <w:rsid w:val="19E47042"/>
    <w:rsid w:val="19E66B62"/>
    <w:rsid w:val="19EE7B87"/>
    <w:rsid w:val="19F203A6"/>
    <w:rsid w:val="19F47108"/>
    <w:rsid w:val="19F5495D"/>
    <w:rsid w:val="19F71DD3"/>
    <w:rsid w:val="19F767E3"/>
    <w:rsid w:val="1A0D2073"/>
    <w:rsid w:val="1A184D38"/>
    <w:rsid w:val="1A37648F"/>
    <w:rsid w:val="1A395CFF"/>
    <w:rsid w:val="1A416849"/>
    <w:rsid w:val="1A440B02"/>
    <w:rsid w:val="1A454418"/>
    <w:rsid w:val="1A4700BF"/>
    <w:rsid w:val="1A5E61B3"/>
    <w:rsid w:val="1A634312"/>
    <w:rsid w:val="1A68007A"/>
    <w:rsid w:val="1A7C5614"/>
    <w:rsid w:val="1A7D4D4C"/>
    <w:rsid w:val="1A885859"/>
    <w:rsid w:val="1A8F2242"/>
    <w:rsid w:val="1A991237"/>
    <w:rsid w:val="1A9E0909"/>
    <w:rsid w:val="1AA55036"/>
    <w:rsid w:val="1AAF6ED9"/>
    <w:rsid w:val="1AB17FBE"/>
    <w:rsid w:val="1ABC5240"/>
    <w:rsid w:val="1ABE4106"/>
    <w:rsid w:val="1AC32E7A"/>
    <w:rsid w:val="1ACD3D28"/>
    <w:rsid w:val="1ACE65B3"/>
    <w:rsid w:val="1AD76213"/>
    <w:rsid w:val="1ADC2E66"/>
    <w:rsid w:val="1ADE4F64"/>
    <w:rsid w:val="1AE72918"/>
    <w:rsid w:val="1AF24809"/>
    <w:rsid w:val="1AF828D7"/>
    <w:rsid w:val="1B025058"/>
    <w:rsid w:val="1B0613E1"/>
    <w:rsid w:val="1B150266"/>
    <w:rsid w:val="1B242B3F"/>
    <w:rsid w:val="1B272708"/>
    <w:rsid w:val="1B2A15E0"/>
    <w:rsid w:val="1B2C2671"/>
    <w:rsid w:val="1B37724E"/>
    <w:rsid w:val="1B3C7ABB"/>
    <w:rsid w:val="1B400916"/>
    <w:rsid w:val="1B417455"/>
    <w:rsid w:val="1B6847DD"/>
    <w:rsid w:val="1B7016B1"/>
    <w:rsid w:val="1B730202"/>
    <w:rsid w:val="1B784D6C"/>
    <w:rsid w:val="1B793CE9"/>
    <w:rsid w:val="1B8528E0"/>
    <w:rsid w:val="1B8C4D5C"/>
    <w:rsid w:val="1B8E6609"/>
    <w:rsid w:val="1B9D1A07"/>
    <w:rsid w:val="1B9E3554"/>
    <w:rsid w:val="1BA6153B"/>
    <w:rsid w:val="1BA72FA2"/>
    <w:rsid w:val="1BB5368A"/>
    <w:rsid w:val="1BBF418B"/>
    <w:rsid w:val="1BC072DB"/>
    <w:rsid w:val="1BDE60D5"/>
    <w:rsid w:val="1BE93920"/>
    <w:rsid w:val="1BF96262"/>
    <w:rsid w:val="1C026FB3"/>
    <w:rsid w:val="1C07130E"/>
    <w:rsid w:val="1C14048C"/>
    <w:rsid w:val="1C2503BF"/>
    <w:rsid w:val="1C2F2381"/>
    <w:rsid w:val="1C3C4434"/>
    <w:rsid w:val="1C423992"/>
    <w:rsid w:val="1C4900E3"/>
    <w:rsid w:val="1C5539DC"/>
    <w:rsid w:val="1C5B2298"/>
    <w:rsid w:val="1C5C6548"/>
    <w:rsid w:val="1C646E50"/>
    <w:rsid w:val="1C792541"/>
    <w:rsid w:val="1C8E0F8A"/>
    <w:rsid w:val="1CA922B8"/>
    <w:rsid w:val="1CA9707F"/>
    <w:rsid w:val="1CAB0A27"/>
    <w:rsid w:val="1CB90A89"/>
    <w:rsid w:val="1CBF0A4A"/>
    <w:rsid w:val="1CCD040E"/>
    <w:rsid w:val="1CD03E3F"/>
    <w:rsid w:val="1CD07C24"/>
    <w:rsid w:val="1CD54090"/>
    <w:rsid w:val="1CD759CE"/>
    <w:rsid w:val="1CDA45D0"/>
    <w:rsid w:val="1CF05C11"/>
    <w:rsid w:val="1D105193"/>
    <w:rsid w:val="1D213C3B"/>
    <w:rsid w:val="1D3201AE"/>
    <w:rsid w:val="1D4114F8"/>
    <w:rsid w:val="1D444755"/>
    <w:rsid w:val="1D44644B"/>
    <w:rsid w:val="1D461CCC"/>
    <w:rsid w:val="1D4D33F4"/>
    <w:rsid w:val="1D4F16B4"/>
    <w:rsid w:val="1D524637"/>
    <w:rsid w:val="1D56065D"/>
    <w:rsid w:val="1D5663DD"/>
    <w:rsid w:val="1D630517"/>
    <w:rsid w:val="1D7A3652"/>
    <w:rsid w:val="1D7B5070"/>
    <w:rsid w:val="1D9D1AE6"/>
    <w:rsid w:val="1DA13895"/>
    <w:rsid w:val="1DAE1331"/>
    <w:rsid w:val="1DBB25CC"/>
    <w:rsid w:val="1DBB7525"/>
    <w:rsid w:val="1DCF5A5A"/>
    <w:rsid w:val="1DE420DE"/>
    <w:rsid w:val="1DF3057C"/>
    <w:rsid w:val="1DF37992"/>
    <w:rsid w:val="1DFB0BA7"/>
    <w:rsid w:val="1E0875D5"/>
    <w:rsid w:val="1E1D21A3"/>
    <w:rsid w:val="1E1F157A"/>
    <w:rsid w:val="1E204728"/>
    <w:rsid w:val="1E231FDF"/>
    <w:rsid w:val="1E2E5C28"/>
    <w:rsid w:val="1E331146"/>
    <w:rsid w:val="1E3D1BE1"/>
    <w:rsid w:val="1E460AB8"/>
    <w:rsid w:val="1E477FC1"/>
    <w:rsid w:val="1E493237"/>
    <w:rsid w:val="1E494E87"/>
    <w:rsid w:val="1E4B127E"/>
    <w:rsid w:val="1E5C4EF0"/>
    <w:rsid w:val="1E5E5082"/>
    <w:rsid w:val="1E6106FE"/>
    <w:rsid w:val="1E63756A"/>
    <w:rsid w:val="1E643DE5"/>
    <w:rsid w:val="1E694BC4"/>
    <w:rsid w:val="1E6D573B"/>
    <w:rsid w:val="1E6E73D3"/>
    <w:rsid w:val="1E7229E4"/>
    <w:rsid w:val="1E787CCC"/>
    <w:rsid w:val="1E7B034A"/>
    <w:rsid w:val="1E7B1720"/>
    <w:rsid w:val="1E8F4D49"/>
    <w:rsid w:val="1E9D1F35"/>
    <w:rsid w:val="1E9D27F7"/>
    <w:rsid w:val="1E9E02C5"/>
    <w:rsid w:val="1EB27A60"/>
    <w:rsid w:val="1EB71AFD"/>
    <w:rsid w:val="1EC11CBE"/>
    <w:rsid w:val="1ED76EE9"/>
    <w:rsid w:val="1F037BB2"/>
    <w:rsid w:val="1F051DF4"/>
    <w:rsid w:val="1F121D73"/>
    <w:rsid w:val="1F1A2095"/>
    <w:rsid w:val="1F1C4A14"/>
    <w:rsid w:val="1F2A42AC"/>
    <w:rsid w:val="1F2A66C3"/>
    <w:rsid w:val="1F2C0745"/>
    <w:rsid w:val="1F2F5D36"/>
    <w:rsid w:val="1F437C7D"/>
    <w:rsid w:val="1F45619F"/>
    <w:rsid w:val="1F51524D"/>
    <w:rsid w:val="1F567822"/>
    <w:rsid w:val="1F5A3543"/>
    <w:rsid w:val="1F6B3656"/>
    <w:rsid w:val="1F885B68"/>
    <w:rsid w:val="1F946160"/>
    <w:rsid w:val="1FAA0F94"/>
    <w:rsid w:val="1FC93E1D"/>
    <w:rsid w:val="1FD15073"/>
    <w:rsid w:val="1FDC4FC2"/>
    <w:rsid w:val="1FE14BF2"/>
    <w:rsid w:val="1FE96875"/>
    <w:rsid w:val="1FF331B3"/>
    <w:rsid w:val="20015F3A"/>
    <w:rsid w:val="20016280"/>
    <w:rsid w:val="200A2E2D"/>
    <w:rsid w:val="2016572F"/>
    <w:rsid w:val="20173973"/>
    <w:rsid w:val="20183F0F"/>
    <w:rsid w:val="201A7D15"/>
    <w:rsid w:val="201E47A8"/>
    <w:rsid w:val="202F44B6"/>
    <w:rsid w:val="20345F47"/>
    <w:rsid w:val="20373A3F"/>
    <w:rsid w:val="20377C48"/>
    <w:rsid w:val="203A5ADD"/>
    <w:rsid w:val="203F46DA"/>
    <w:rsid w:val="20506B63"/>
    <w:rsid w:val="20525015"/>
    <w:rsid w:val="20597A56"/>
    <w:rsid w:val="205E527E"/>
    <w:rsid w:val="206F522B"/>
    <w:rsid w:val="2083371E"/>
    <w:rsid w:val="208F4D31"/>
    <w:rsid w:val="20A576F9"/>
    <w:rsid w:val="20A877EF"/>
    <w:rsid w:val="20B22B7D"/>
    <w:rsid w:val="20B3443D"/>
    <w:rsid w:val="20B47001"/>
    <w:rsid w:val="20B63B6C"/>
    <w:rsid w:val="20B8109B"/>
    <w:rsid w:val="20BD2532"/>
    <w:rsid w:val="20D56821"/>
    <w:rsid w:val="20DE29FD"/>
    <w:rsid w:val="20E81D67"/>
    <w:rsid w:val="20FB159D"/>
    <w:rsid w:val="20FE2235"/>
    <w:rsid w:val="20FF6A9A"/>
    <w:rsid w:val="21083BC2"/>
    <w:rsid w:val="211922BB"/>
    <w:rsid w:val="213E4872"/>
    <w:rsid w:val="21430611"/>
    <w:rsid w:val="21437D9E"/>
    <w:rsid w:val="21446E92"/>
    <w:rsid w:val="214621E3"/>
    <w:rsid w:val="215660CC"/>
    <w:rsid w:val="216D3CE9"/>
    <w:rsid w:val="21794A94"/>
    <w:rsid w:val="21842D94"/>
    <w:rsid w:val="21A32B19"/>
    <w:rsid w:val="21AD272C"/>
    <w:rsid w:val="21B17741"/>
    <w:rsid w:val="21B6475C"/>
    <w:rsid w:val="21BA6D6D"/>
    <w:rsid w:val="21C36D27"/>
    <w:rsid w:val="21D669E7"/>
    <w:rsid w:val="21DF0B49"/>
    <w:rsid w:val="21EA77D6"/>
    <w:rsid w:val="21F63C62"/>
    <w:rsid w:val="21FC1E35"/>
    <w:rsid w:val="21FE7D0C"/>
    <w:rsid w:val="220E6753"/>
    <w:rsid w:val="221C0772"/>
    <w:rsid w:val="221E0053"/>
    <w:rsid w:val="22265D9A"/>
    <w:rsid w:val="223F5C06"/>
    <w:rsid w:val="224E6DC3"/>
    <w:rsid w:val="226730C0"/>
    <w:rsid w:val="226C52AF"/>
    <w:rsid w:val="227B36F8"/>
    <w:rsid w:val="227F6FF1"/>
    <w:rsid w:val="22907339"/>
    <w:rsid w:val="22AF0D77"/>
    <w:rsid w:val="22B2007B"/>
    <w:rsid w:val="22B95705"/>
    <w:rsid w:val="22CB72D1"/>
    <w:rsid w:val="22E178ED"/>
    <w:rsid w:val="22E22A4D"/>
    <w:rsid w:val="22ED6462"/>
    <w:rsid w:val="22F348CD"/>
    <w:rsid w:val="22F45FCF"/>
    <w:rsid w:val="22FC06A5"/>
    <w:rsid w:val="22FF7761"/>
    <w:rsid w:val="23020FDB"/>
    <w:rsid w:val="230E06A4"/>
    <w:rsid w:val="231C3441"/>
    <w:rsid w:val="23293EB6"/>
    <w:rsid w:val="232F3849"/>
    <w:rsid w:val="2337774B"/>
    <w:rsid w:val="23481B63"/>
    <w:rsid w:val="2351290E"/>
    <w:rsid w:val="23591063"/>
    <w:rsid w:val="235A0F1A"/>
    <w:rsid w:val="235D323C"/>
    <w:rsid w:val="23656399"/>
    <w:rsid w:val="23665294"/>
    <w:rsid w:val="236C281B"/>
    <w:rsid w:val="2372532F"/>
    <w:rsid w:val="23823682"/>
    <w:rsid w:val="238E318C"/>
    <w:rsid w:val="23906450"/>
    <w:rsid w:val="23A420F7"/>
    <w:rsid w:val="23AE59CB"/>
    <w:rsid w:val="23BE70A9"/>
    <w:rsid w:val="23C75EE5"/>
    <w:rsid w:val="23D24679"/>
    <w:rsid w:val="23D66441"/>
    <w:rsid w:val="23D75C2D"/>
    <w:rsid w:val="23DD3188"/>
    <w:rsid w:val="23DD3E5B"/>
    <w:rsid w:val="23E45141"/>
    <w:rsid w:val="23E50DFE"/>
    <w:rsid w:val="23E554E6"/>
    <w:rsid w:val="23E7391D"/>
    <w:rsid w:val="23FD3354"/>
    <w:rsid w:val="24042CD6"/>
    <w:rsid w:val="24197D2E"/>
    <w:rsid w:val="24286D04"/>
    <w:rsid w:val="242A5864"/>
    <w:rsid w:val="24336302"/>
    <w:rsid w:val="243946CC"/>
    <w:rsid w:val="243B2B90"/>
    <w:rsid w:val="243E25C8"/>
    <w:rsid w:val="244357BA"/>
    <w:rsid w:val="244B70E2"/>
    <w:rsid w:val="244C4B42"/>
    <w:rsid w:val="24507087"/>
    <w:rsid w:val="245844B3"/>
    <w:rsid w:val="245C6A2E"/>
    <w:rsid w:val="24604C2F"/>
    <w:rsid w:val="24644E87"/>
    <w:rsid w:val="2481176D"/>
    <w:rsid w:val="248357B6"/>
    <w:rsid w:val="248F0601"/>
    <w:rsid w:val="24936440"/>
    <w:rsid w:val="249B068F"/>
    <w:rsid w:val="24A413AE"/>
    <w:rsid w:val="24A44327"/>
    <w:rsid w:val="24B51507"/>
    <w:rsid w:val="24B80DE9"/>
    <w:rsid w:val="24C57038"/>
    <w:rsid w:val="24D04101"/>
    <w:rsid w:val="24D96306"/>
    <w:rsid w:val="24E35E5C"/>
    <w:rsid w:val="24E828A2"/>
    <w:rsid w:val="25040357"/>
    <w:rsid w:val="25063BFD"/>
    <w:rsid w:val="25106D5A"/>
    <w:rsid w:val="25151810"/>
    <w:rsid w:val="25152110"/>
    <w:rsid w:val="252D01A0"/>
    <w:rsid w:val="252E024E"/>
    <w:rsid w:val="25311E5F"/>
    <w:rsid w:val="25355E09"/>
    <w:rsid w:val="254A39C3"/>
    <w:rsid w:val="254E4445"/>
    <w:rsid w:val="255A481F"/>
    <w:rsid w:val="255A738A"/>
    <w:rsid w:val="255F3BF4"/>
    <w:rsid w:val="25615BCD"/>
    <w:rsid w:val="25681E17"/>
    <w:rsid w:val="256E25F1"/>
    <w:rsid w:val="25710315"/>
    <w:rsid w:val="25906723"/>
    <w:rsid w:val="25945D6C"/>
    <w:rsid w:val="25977732"/>
    <w:rsid w:val="259D1744"/>
    <w:rsid w:val="25A53EFD"/>
    <w:rsid w:val="25B077EB"/>
    <w:rsid w:val="25B71138"/>
    <w:rsid w:val="25B739AB"/>
    <w:rsid w:val="25B75D13"/>
    <w:rsid w:val="25B85F00"/>
    <w:rsid w:val="25B94588"/>
    <w:rsid w:val="25BA537D"/>
    <w:rsid w:val="25BD4B64"/>
    <w:rsid w:val="25BF253F"/>
    <w:rsid w:val="25C20919"/>
    <w:rsid w:val="25C23B37"/>
    <w:rsid w:val="25C3378A"/>
    <w:rsid w:val="25D74F8A"/>
    <w:rsid w:val="25F56D19"/>
    <w:rsid w:val="25FA1C70"/>
    <w:rsid w:val="2607382C"/>
    <w:rsid w:val="260C0043"/>
    <w:rsid w:val="260E742C"/>
    <w:rsid w:val="260F285E"/>
    <w:rsid w:val="260F3540"/>
    <w:rsid w:val="261439A5"/>
    <w:rsid w:val="261F39EA"/>
    <w:rsid w:val="26272FC8"/>
    <w:rsid w:val="262A36A9"/>
    <w:rsid w:val="26325599"/>
    <w:rsid w:val="26335014"/>
    <w:rsid w:val="26350991"/>
    <w:rsid w:val="263B12C0"/>
    <w:rsid w:val="263E6B2A"/>
    <w:rsid w:val="264F6ED3"/>
    <w:rsid w:val="2652631A"/>
    <w:rsid w:val="265A069A"/>
    <w:rsid w:val="26682B79"/>
    <w:rsid w:val="26734082"/>
    <w:rsid w:val="26762EF3"/>
    <w:rsid w:val="267B51E2"/>
    <w:rsid w:val="26A97283"/>
    <w:rsid w:val="26B21559"/>
    <w:rsid w:val="26B908EF"/>
    <w:rsid w:val="26C4631E"/>
    <w:rsid w:val="26DC2E90"/>
    <w:rsid w:val="26E67B52"/>
    <w:rsid w:val="26EF61D7"/>
    <w:rsid w:val="26F50D5B"/>
    <w:rsid w:val="270D1D4F"/>
    <w:rsid w:val="270E63FD"/>
    <w:rsid w:val="270F5784"/>
    <w:rsid w:val="27111098"/>
    <w:rsid w:val="271559EC"/>
    <w:rsid w:val="27165DCC"/>
    <w:rsid w:val="27187EB6"/>
    <w:rsid w:val="27220804"/>
    <w:rsid w:val="273201F7"/>
    <w:rsid w:val="275E3E10"/>
    <w:rsid w:val="275F19A0"/>
    <w:rsid w:val="27603225"/>
    <w:rsid w:val="2762286C"/>
    <w:rsid w:val="276E20C0"/>
    <w:rsid w:val="277B1DAD"/>
    <w:rsid w:val="2782206A"/>
    <w:rsid w:val="27905244"/>
    <w:rsid w:val="279126CD"/>
    <w:rsid w:val="27962D54"/>
    <w:rsid w:val="2799658F"/>
    <w:rsid w:val="279B0C2A"/>
    <w:rsid w:val="279B6E24"/>
    <w:rsid w:val="27AC0928"/>
    <w:rsid w:val="27AC7A02"/>
    <w:rsid w:val="27C8509B"/>
    <w:rsid w:val="27CE121D"/>
    <w:rsid w:val="27CF725A"/>
    <w:rsid w:val="27D8245E"/>
    <w:rsid w:val="27DB6E65"/>
    <w:rsid w:val="27DE3070"/>
    <w:rsid w:val="27DF01D5"/>
    <w:rsid w:val="27E33F0A"/>
    <w:rsid w:val="27EF7938"/>
    <w:rsid w:val="27F070DC"/>
    <w:rsid w:val="27F224C6"/>
    <w:rsid w:val="27F54ACB"/>
    <w:rsid w:val="27F61674"/>
    <w:rsid w:val="27F75753"/>
    <w:rsid w:val="27F91277"/>
    <w:rsid w:val="27FB22F2"/>
    <w:rsid w:val="28083900"/>
    <w:rsid w:val="2825367D"/>
    <w:rsid w:val="2826115F"/>
    <w:rsid w:val="282F78AD"/>
    <w:rsid w:val="28423B4D"/>
    <w:rsid w:val="28507CDA"/>
    <w:rsid w:val="28532E6F"/>
    <w:rsid w:val="285B443E"/>
    <w:rsid w:val="285B6F79"/>
    <w:rsid w:val="285D1D01"/>
    <w:rsid w:val="286554BC"/>
    <w:rsid w:val="28664C40"/>
    <w:rsid w:val="28687B6A"/>
    <w:rsid w:val="286B558E"/>
    <w:rsid w:val="28715F10"/>
    <w:rsid w:val="287F21DC"/>
    <w:rsid w:val="2880389E"/>
    <w:rsid w:val="288838BE"/>
    <w:rsid w:val="288B31D5"/>
    <w:rsid w:val="28947941"/>
    <w:rsid w:val="28962598"/>
    <w:rsid w:val="289D5340"/>
    <w:rsid w:val="28A4629F"/>
    <w:rsid w:val="28BF72F1"/>
    <w:rsid w:val="28C4032F"/>
    <w:rsid w:val="28C571B3"/>
    <w:rsid w:val="28C67C64"/>
    <w:rsid w:val="28C739EF"/>
    <w:rsid w:val="28D650A9"/>
    <w:rsid w:val="28E90040"/>
    <w:rsid w:val="28EE0FEB"/>
    <w:rsid w:val="28FE0602"/>
    <w:rsid w:val="290630EB"/>
    <w:rsid w:val="29075AB6"/>
    <w:rsid w:val="290859E6"/>
    <w:rsid w:val="290C57B8"/>
    <w:rsid w:val="290E7873"/>
    <w:rsid w:val="291017E1"/>
    <w:rsid w:val="291A7AFF"/>
    <w:rsid w:val="29201757"/>
    <w:rsid w:val="29210377"/>
    <w:rsid w:val="29292C68"/>
    <w:rsid w:val="292A1473"/>
    <w:rsid w:val="292B5669"/>
    <w:rsid w:val="293109CA"/>
    <w:rsid w:val="29361B4A"/>
    <w:rsid w:val="29387915"/>
    <w:rsid w:val="295B0537"/>
    <w:rsid w:val="296B3782"/>
    <w:rsid w:val="296C0526"/>
    <w:rsid w:val="2976153E"/>
    <w:rsid w:val="2976422B"/>
    <w:rsid w:val="29770DF8"/>
    <w:rsid w:val="29804282"/>
    <w:rsid w:val="29892A48"/>
    <w:rsid w:val="298A7A73"/>
    <w:rsid w:val="298B2893"/>
    <w:rsid w:val="299A19C2"/>
    <w:rsid w:val="29B107CB"/>
    <w:rsid w:val="29BA586D"/>
    <w:rsid w:val="29BE78B6"/>
    <w:rsid w:val="29DF4C6B"/>
    <w:rsid w:val="29E02EFF"/>
    <w:rsid w:val="29FF6AEC"/>
    <w:rsid w:val="2A1119BD"/>
    <w:rsid w:val="2A1B09A7"/>
    <w:rsid w:val="2A1E1FED"/>
    <w:rsid w:val="2A2468F4"/>
    <w:rsid w:val="2A291340"/>
    <w:rsid w:val="2A302748"/>
    <w:rsid w:val="2A313FD8"/>
    <w:rsid w:val="2A3C6C16"/>
    <w:rsid w:val="2A405DCF"/>
    <w:rsid w:val="2A471409"/>
    <w:rsid w:val="2A624AB9"/>
    <w:rsid w:val="2A656271"/>
    <w:rsid w:val="2A666A78"/>
    <w:rsid w:val="2A692E61"/>
    <w:rsid w:val="2A714957"/>
    <w:rsid w:val="2A7232D7"/>
    <w:rsid w:val="2A7C05A7"/>
    <w:rsid w:val="2A7F62E3"/>
    <w:rsid w:val="2A813A71"/>
    <w:rsid w:val="2A905E97"/>
    <w:rsid w:val="2A95523A"/>
    <w:rsid w:val="2A9B26D0"/>
    <w:rsid w:val="2A9F08D1"/>
    <w:rsid w:val="2AA83A3F"/>
    <w:rsid w:val="2AB2320F"/>
    <w:rsid w:val="2ABF1D3F"/>
    <w:rsid w:val="2AC000FB"/>
    <w:rsid w:val="2AC264EE"/>
    <w:rsid w:val="2ACA0D0E"/>
    <w:rsid w:val="2AD5268F"/>
    <w:rsid w:val="2AEA4D0C"/>
    <w:rsid w:val="2AF11577"/>
    <w:rsid w:val="2AF50C32"/>
    <w:rsid w:val="2AF6529B"/>
    <w:rsid w:val="2B013B20"/>
    <w:rsid w:val="2B1256A1"/>
    <w:rsid w:val="2B21394F"/>
    <w:rsid w:val="2B21691B"/>
    <w:rsid w:val="2B290181"/>
    <w:rsid w:val="2B2916E7"/>
    <w:rsid w:val="2B2C73D4"/>
    <w:rsid w:val="2B305C78"/>
    <w:rsid w:val="2B344980"/>
    <w:rsid w:val="2B385F30"/>
    <w:rsid w:val="2B3A39CA"/>
    <w:rsid w:val="2B3E7EE5"/>
    <w:rsid w:val="2B4222ED"/>
    <w:rsid w:val="2B532AC4"/>
    <w:rsid w:val="2B555E25"/>
    <w:rsid w:val="2B5D3D5F"/>
    <w:rsid w:val="2B654038"/>
    <w:rsid w:val="2B6E0F50"/>
    <w:rsid w:val="2B7102A7"/>
    <w:rsid w:val="2B7B7348"/>
    <w:rsid w:val="2B8A0D5B"/>
    <w:rsid w:val="2B8C30E0"/>
    <w:rsid w:val="2B9119F2"/>
    <w:rsid w:val="2B97563A"/>
    <w:rsid w:val="2B9942DF"/>
    <w:rsid w:val="2BAD343A"/>
    <w:rsid w:val="2BAD3AC5"/>
    <w:rsid w:val="2BB06E8D"/>
    <w:rsid w:val="2BB43D0C"/>
    <w:rsid w:val="2BBE3C36"/>
    <w:rsid w:val="2BBF3D45"/>
    <w:rsid w:val="2BC350FC"/>
    <w:rsid w:val="2BC53F3F"/>
    <w:rsid w:val="2BD472B9"/>
    <w:rsid w:val="2BE60559"/>
    <w:rsid w:val="2BFF6D7B"/>
    <w:rsid w:val="2C021999"/>
    <w:rsid w:val="2C09309A"/>
    <w:rsid w:val="2C1873B2"/>
    <w:rsid w:val="2C216CEA"/>
    <w:rsid w:val="2C2378D1"/>
    <w:rsid w:val="2C25780E"/>
    <w:rsid w:val="2C2C0FEE"/>
    <w:rsid w:val="2C2F7C1E"/>
    <w:rsid w:val="2C325AE8"/>
    <w:rsid w:val="2C366807"/>
    <w:rsid w:val="2C4D35A1"/>
    <w:rsid w:val="2C6205EF"/>
    <w:rsid w:val="2C6465D8"/>
    <w:rsid w:val="2C6619A5"/>
    <w:rsid w:val="2C68733C"/>
    <w:rsid w:val="2C697645"/>
    <w:rsid w:val="2C967771"/>
    <w:rsid w:val="2CAC1CDC"/>
    <w:rsid w:val="2CBC72B7"/>
    <w:rsid w:val="2CCC623B"/>
    <w:rsid w:val="2CD11468"/>
    <w:rsid w:val="2CD72673"/>
    <w:rsid w:val="2CD73DEC"/>
    <w:rsid w:val="2CDA4AEB"/>
    <w:rsid w:val="2CEA640A"/>
    <w:rsid w:val="2CEC2A2D"/>
    <w:rsid w:val="2CEC7591"/>
    <w:rsid w:val="2CF220FC"/>
    <w:rsid w:val="2CF25EBD"/>
    <w:rsid w:val="2CF539DE"/>
    <w:rsid w:val="2CF57A86"/>
    <w:rsid w:val="2CFB5FDB"/>
    <w:rsid w:val="2D014079"/>
    <w:rsid w:val="2D015FD7"/>
    <w:rsid w:val="2D132113"/>
    <w:rsid w:val="2D1E3DD0"/>
    <w:rsid w:val="2D2A2F93"/>
    <w:rsid w:val="2D2B6EDC"/>
    <w:rsid w:val="2D2D2B31"/>
    <w:rsid w:val="2D306FF5"/>
    <w:rsid w:val="2D362FA6"/>
    <w:rsid w:val="2D6510C1"/>
    <w:rsid w:val="2D680962"/>
    <w:rsid w:val="2D6B19FB"/>
    <w:rsid w:val="2D6F48DE"/>
    <w:rsid w:val="2D796A75"/>
    <w:rsid w:val="2D8106C7"/>
    <w:rsid w:val="2D820B90"/>
    <w:rsid w:val="2D846026"/>
    <w:rsid w:val="2D86624A"/>
    <w:rsid w:val="2D94414C"/>
    <w:rsid w:val="2DA20A64"/>
    <w:rsid w:val="2DB0643B"/>
    <w:rsid w:val="2DB10E4B"/>
    <w:rsid w:val="2DC618B4"/>
    <w:rsid w:val="2DC620F5"/>
    <w:rsid w:val="2DC95FF2"/>
    <w:rsid w:val="2DD75859"/>
    <w:rsid w:val="2DF732DE"/>
    <w:rsid w:val="2E1F07F7"/>
    <w:rsid w:val="2E236874"/>
    <w:rsid w:val="2E247A70"/>
    <w:rsid w:val="2E2C0452"/>
    <w:rsid w:val="2E2F32EB"/>
    <w:rsid w:val="2E337103"/>
    <w:rsid w:val="2E3F6E03"/>
    <w:rsid w:val="2E41793F"/>
    <w:rsid w:val="2E4C4308"/>
    <w:rsid w:val="2E507221"/>
    <w:rsid w:val="2E5E71A5"/>
    <w:rsid w:val="2E5F033A"/>
    <w:rsid w:val="2E6E3321"/>
    <w:rsid w:val="2E75470F"/>
    <w:rsid w:val="2E76046C"/>
    <w:rsid w:val="2E7B74D0"/>
    <w:rsid w:val="2E845CA2"/>
    <w:rsid w:val="2E893DA2"/>
    <w:rsid w:val="2E9272CC"/>
    <w:rsid w:val="2EA54C29"/>
    <w:rsid w:val="2EAA0A81"/>
    <w:rsid w:val="2EAA3251"/>
    <w:rsid w:val="2EB26B05"/>
    <w:rsid w:val="2EC3709F"/>
    <w:rsid w:val="2EC47577"/>
    <w:rsid w:val="2ECA70FB"/>
    <w:rsid w:val="2ECE2F51"/>
    <w:rsid w:val="2ED10106"/>
    <w:rsid w:val="2ED23BD8"/>
    <w:rsid w:val="2EDA6686"/>
    <w:rsid w:val="2EDE4B3F"/>
    <w:rsid w:val="2EE0073D"/>
    <w:rsid w:val="2EE133B5"/>
    <w:rsid w:val="2EEC5C9F"/>
    <w:rsid w:val="2EF05A9D"/>
    <w:rsid w:val="2F0033D3"/>
    <w:rsid w:val="2F0728A3"/>
    <w:rsid w:val="2F0B441B"/>
    <w:rsid w:val="2F0D2646"/>
    <w:rsid w:val="2F1409A6"/>
    <w:rsid w:val="2F180FA7"/>
    <w:rsid w:val="2F1F2B98"/>
    <w:rsid w:val="2F2249DD"/>
    <w:rsid w:val="2F2B6FA1"/>
    <w:rsid w:val="2F367CF4"/>
    <w:rsid w:val="2F4558DE"/>
    <w:rsid w:val="2F486BF0"/>
    <w:rsid w:val="2F4F63BF"/>
    <w:rsid w:val="2F735CA3"/>
    <w:rsid w:val="2F76124D"/>
    <w:rsid w:val="2F7E76C1"/>
    <w:rsid w:val="2F8241E4"/>
    <w:rsid w:val="2F883258"/>
    <w:rsid w:val="2F9152D2"/>
    <w:rsid w:val="2F952845"/>
    <w:rsid w:val="2F975BB1"/>
    <w:rsid w:val="2FA34A9C"/>
    <w:rsid w:val="2FA93EBB"/>
    <w:rsid w:val="2FDE0E79"/>
    <w:rsid w:val="2FEB485E"/>
    <w:rsid w:val="2FED7326"/>
    <w:rsid w:val="2FEF33A7"/>
    <w:rsid w:val="2FF92D3A"/>
    <w:rsid w:val="2FFC3113"/>
    <w:rsid w:val="30060E01"/>
    <w:rsid w:val="3006124E"/>
    <w:rsid w:val="300A59D4"/>
    <w:rsid w:val="300E1572"/>
    <w:rsid w:val="30104C59"/>
    <w:rsid w:val="3015526C"/>
    <w:rsid w:val="30167CD1"/>
    <w:rsid w:val="301810A6"/>
    <w:rsid w:val="301B6D19"/>
    <w:rsid w:val="301E0E4E"/>
    <w:rsid w:val="301F6BC5"/>
    <w:rsid w:val="30284BD1"/>
    <w:rsid w:val="302F3C6C"/>
    <w:rsid w:val="302F642F"/>
    <w:rsid w:val="30487E62"/>
    <w:rsid w:val="30513750"/>
    <w:rsid w:val="3052586F"/>
    <w:rsid w:val="305335DB"/>
    <w:rsid w:val="305B35BF"/>
    <w:rsid w:val="305D1A21"/>
    <w:rsid w:val="305E345B"/>
    <w:rsid w:val="30607A7D"/>
    <w:rsid w:val="3062174A"/>
    <w:rsid w:val="30680F88"/>
    <w:rsid w:val="3072666E"/>
    <w:rsid w:val="307358C8"/>
    <w:rsid w:val="307F061E"/>
    <w:rsid w:val="30887B99"/>
    <w:rsid w:val="3098694B"/>
    <w:rsid w:val="309B0BD0"/>
    <w:rsid w:val="30A86E6F"/>
    <w:rsid w:val="30AB5A5F"/>
    <w:rsid w:val="30AC5C22"/>
    <w:rsid w:val="30BA02DB"/>
    <w:rsid w:val="30BF20BA"/>
    <w:rsid w:val="30C03C74"/>
    <w:rsid w:val="30C84EB6"/>
    <w:rsid w:val="30E15DC6"/>
    <w:rsid w:val="30E9244F"/>
    <w:rsid w:val="30EE176F"/>
    <w:rsid w:val="30F11D0D"/>
    <w:rsid w:val="30F40E92"/>
    <w:rsid w:val="30F7740C"/>
    <w:rsid w:val="30FA5E46"/>
    <w:rsid w:val="310B59DC"/>
    <w:rsid w:val="31182D58"/>
    <w:rsid w:val="311D6043"/>
    <w:rsid w:val="3120328B"/>
    <w:rsid w:val="313C20D0"/>
    <w:rsid w:val="31440FB7"/>
    <w:rsid w:val="314824A5"/>
    <w:rsid w:val="314A28CE"/>
    <w:rsid w:val="314C346B"/>
    <w:rsid w:val="314E7DBB"/>
    <w:rsid w:val="315548AE"/>
    <w:rsid w:val="315D295F"/>
    <w:rsid w:val="31603F47"/>
    <w:rsid w:val="3167339C"/>
    <w:rsid w:val="31833399"/>
    <w:rsid w:val="31837425"/>
    <w:rsid w:val="31963285"/>
    <w:rsid w:val="319F38AD"/>
    <w:rsid w:val="31A61479"/>
    <w:rsid w:val="31AA1E8D"/>
    <w:rsid w:val="31AD7ABB"/>
    <w:rsid w:val="31AE4950"/>
    <w:rsid w:val="31B232F3"/>
    <w:rsid w:val="31BF52C7"/>
    <w:rsid w:val="31CE7ACC"/>
    <w:rsid w:val="31D643EC"/>
    <w:rsid w:val="31D66215"/>
    <w:rsid w:val="31D712D6"/>
    <w:rsid w:val="31DD2BA3"/>
    <w:rsid w:val="31E6401B"/>
    <w:rsid w:val="31E6507C"/>
    <w:rsid w:val="31E72297"/>
    <w:rsid w:val="31F240E0"/>
    <w:rsid w:val="31F32984"/>
    <w:rsid w:val="320544D6"/>
    <w:rsid w:val="320664A1"/>
    <w:rsid w:val="320A07D5"/>
    <w:rsid w:val="320F6705"/>
    <w:rsid w:val="321031DC"/>
    <w:rsid w:val="32143AA2"/>
    <w:rsid w:val="322079FE"/>
    <w:rsid w:val="3222237C"/>
    <w:rsid w:val="32225CA9"/>
    <w:rsid w:val="322A44F2"/>
    <w:rsid w:val="322E1AD9"/>
    <w:rsid w:val="323F6674"/>
    <w:rsid w:val="32512F3D"/>
    <w:rsid w:val="32554FC7"/>
    <w:rsid w:val="325D3EB5"/>
    <w:rsid w:val="325F4584"/>
    <w:rsid w:val="326048AB"/>
    <w:rsid w:val="32653608"/>
    <w:rsid w:val="326A146F"/>
    <w:rsid w:val="326D050E"/>
    <w:rsid w:val="327540DC"/>
    <w:rsid w:val="32767BCC"/>
    <w:rsid w:val="32797881"/>
    <w:rsid w:val="329548FF"/>
    <w:rsid w:val="32A1301E"/>
    <w:rsid w:val="32A17613"/>
    <w:rsid w:val="32A20284"/>
    <w:rsid w:val="32B04276"/>
    <w:rsid w:val="32B31274"/>
    <w:rsid w:val="32B71119"/>
    <w:rsid w:val="32BB2178"/>
    <w:rsid w:val="32D0275A"/>
    <w:rsid w:val="32DF4AA9"/>
    <w:rsid w:val="32E046A8"/>
    <w:rsid w:val="32EF2DC0"/>
    <w:rsid w:val="32F62330"/>
    <w:rsid w:val="32F8425B"/>
    <w:rsid w:val="32FA6650"/>
    <w:rsid w:val="33101336"/>
    <w:rsid w:val="33125B84"/>
    <w:rsid w:val="33167FC7"/>
    <w:rsid w:val="331F564E"/>
    <w:rsid w:val="3329365C"/>
    <w:rsid w:val="33316EFD"/>
    <w:rsid w:val="33375C4E"/>
    <w:rsid w:val="333A5458"/>
    <w:rsid w:val="333F45DE"/>
    <w:rsid w:val="334078A1"/>
    <w:rsid w:val="3344205F"/>
    <w:rsid w:val="334B4B30"/>
    <w:rsid w:val="334E5808"/>
    <w:rsid w:val="3355252B"/>
    <w:rsid w:val="33586590"/>
    <w:rsid w:val="33595371"/>
    <w:rsid w:val="33677CFA"/>
    <w:rsid w:val="338045A2"/>
    <w:rsid w:val="338061E0"/>
    <w:rsid w:val="338143ED"/>
    <w:rsid w:val="33822F1B"/>
    <w:rsid w:val="339D2981"/>
    <w:rsid w:val="339E4FF5"/>
    <w:rsid w:val="33A02EE3"/>
    <w:rsid w:val="33A23F0D"/>
    <w:rsid w:val="33A464F2"/>
    <w:rsid w:val="33AA2D5D"/>
    <w:rsid w:val="33AA33FD"/>
    <w:rsid w:val="33AA6D9E"/>
    <w:rsid w:val="33B73AA1"/>
    <w:rsid w:val="33C014B8"/>
    <w:rsid w:val="33C1567C"/>
    <w:rsid w:val="33D259EA"/>
    <w:rsid w:val="33D916E1"/>
    <w:rsid w:val="33EC53E3"/>
    <w:rsid w:val="33ED5541"/>
    <w:rsid w:val="33F82AD7"/>
    <w:rsid w:val="33FA1DFC"/>
    <w:rsid w:val="34065DA7"/>
    <w:rsid w:val="3408505D"/>
    <w:rsid w:val="341D70DB"/>
    <w:rsid w:val="341E4244"/>
    <w:rsid w:val="34221CAB"/>
    <w:rsid w:val="3433636E"/>
    <w:rsid w:val="3443066D"/>
    <w:rsid w:val="34450A79"/>
    <w:rsid w:val="344B7E7C"/>
    <w:rsid w:val="344E18C9"/>
    <w:rsid w:val="344F33C1"/>
    <w:rsid w:val="3465042F"/>
    <w:rsid w:val="347069E4"/>
    <w:rsid w:val="34766E7E"/>
    <w:rsid w:val="347D197B"/>
    <w:rsid w:val="348115A4"/>
    <w:rsid w:val="3481698C"/>
    <w:rsid w:val="348871E8"/>
    <w:rsid w:val="348B5AD1"/>
    <w:rsid w:val="348F3779"/>
    <w:rsid w:val="349C34BA"/>
    <w:rsid w:val="349D0456"/>
    <w:rsid w:val="34A3644C"/>
    <w:rsid w:val="34A90914"/>
    <w:rsid w:val="34B57BFE"/>
    <w:rsid w:val="34B74E95"/>
    <w:rsid w:val="34BE080A"/>
    <w:rsid w:val="34BE1CBB"/>
    <w:rsid w:val="34C21C4E"/>
    <w:rsid w:val="34C304A9"/>
    <w:rsid w:val="34C80348"/>
    <w:rsid w:val="34CE78B3"/>
    <w:rsid w:val="34D044CE"/>
    <w:rsid w:val="34D0727D"/>
    <w:rsid w:val="34DB2A51"/>
    <w:rsid w:val="34E75AD3"/>
    <w:rsid w:val="34EE724B"/>
    <w:rsid w:val="35121556"/>
    <w:rsid w:val="351506CB"/>
    <w:rsid w:val="35174439"/>
    <w:rsid w:val="35174E5F"/>
    <w:rsid w:val="352C398B"/>
    <w:rsid w:val="35304BFC"/>
    <w:rsid w:val="35342CCA"/>
    <w:rsid w:val="35390BDE"/>
    <w:rsid w:val="35391F15"/>
    <w:rsid w:val="354E4D83"/>
    <w:rsid w:val="355A7665"/>
    <w:rsid w:val="356E583E"/>
    <w:rsid w:val="357154D1"/>
    <w:rsid w:val="35774367"/>
    <w:rsid w:val="357F6572"/>
    <w:rsid w:val="358D10B1"/>
    <w:rsid w:val="359A274C"/>
    <w:rsid w:val="359F7BDA"/>
    <w:rsid w:val="35B23F57"/>
    <w:rsid w:val="35C47C60"/>
    <w:rsid w:val="35D22475"/>
    <w:rsid w:val="35DE08AB"/>
    <w:rsid w:val="35E610FF"/>
    <w:rsid w:val="35E73564"/>
    <w:rsid w:val="35F40534"/>
    <w:rsid w:val="35F5619A"/>
    <w:rsid w:val="35F66D41"/>
    <w:rsid w:val="35F75C0F"/>
    <w:rsid w:val="35F80FC8"/>
    <w:rsid w:val="35FB503F"/>
    <w:rsid w:val="36025437"/>
    <w:rsid w:val="36055075"/>
    <w:rsid w:val="36075DF9"/>
    <w:rsid w:val="360F7F53"/>
    <w:rsid w:val="361B7A7F"/>
    <w:rsid w:val="36384468"/>
    <w:rsid w:val="365A77E3"/>
    <w:rsid w:val="36715489"/>
    <w:rsid w:val="36845533"/>
    <w:rsid w:val="3692269B"/>
    <w:rsid w:val="369D53C5"/>
    <w:rsid w:val="36A515BD"/>
    <w:rsid w:val="36A6100F"/>
    <w:rsid w:val="36AB3AE1"/>
    <w:rsid w:val="36AF6E15"/>
    <w:rsid w:val="36B94538"/>
    <w:rsid w:val="36B9491C"/>
    <w:rsid w:val="36C807E4"/>
    <w:rsid w:val="36D91DEB"/>
    <w:rsid w:val="36DD0E09"/>
    <w:rsid w:val="36EE28CB"/>
    <w:rsid w:val="36F50E28"/>
    <w:rsid w:val="370305C2"/>
    <w:rsid w:val="370958D4"/>
    <w:rsid w:val="370A5577"/>
    <w:rsid w:val="37164CC2"/>
    <w:rsid w:val="3725034D"/>
    <w:rsid w:val="372A0948"/>
    <w:rsid w:val="373152A2"/>
    <w:rsid w:val="3745354A"/>
    <w:rsid w:val="374F522A"/>
    <w:rsid w:val="375D0DE2"/>
    <w:rsid w:val="376D01C9"/>
    <w:rsid w:val="377C7CD6"/>
    <w:rsid w:val="377F5BDC"/>
    <w:rsid w:val="378A47E3"/>
    <w:rsid w:val="378B55E3"/>
    <w:rsid w:val="37971E07"/>
    <w:rsid w:val="379D5550"/>
    <w:rsid w:val="379F46CC"/>
    <w:rsid w:val="37C61AC8"/>
    <w:rsid w:val="37C6415D"/>
    <w:rsid w:val="37E9436B"/>
    <w:rsid w:val="37EA5462"/>
    <w:rsid w:val="37F25633"/>
    <w:rsid w:val="37F62B52"/>
    <w:rsid w:val="3801048A"/>
    <w:rsid w:val="38096799"/>
    <w:rsid w:val="38277A2D"/>
    <w:rsid w:val="382E0B53"/>
    <w:rsid w:val="383104A8"/>
    <w:rsid w:val="38372AB9"/>
    <w:rsid w:val="384240F5"/>
    <w:rsid w:val="384A179A"/>
    <w:rsid w:val="38534120"/>
    <w:rsid w:val="385819D6"/>
    <w:rsid w:val="385F15B9"/>
    <w:rsid w:val="38600923"/>
    <w:rsid w:val="38632B09"/>
    <w:rsid w:val="38683C60"/>
    <w:rsid w:val="387B3B02"/>
    <w:rsid w:val="388645D9"/>
    <w:rsid w:val="388A0D6C"/>
    <w:rsid w:val="389453EA"/>
    <w:rsid w:val="389C733F"/>
    <w:rsid w:val="389E2D48"/>
    <w:rsid w:val="38B3582F"/>
    <w:rsid w:val="38BE64C4"/>
    <w:rsid w:val="38C25C88"/>
    <w:rsid w:val="38CB3EB0"/>
    <w:rsid w:val="38D6407C"/>
    <w:rsid w:val="38E4629D"/>
    <w:rsid w:val="38ED35DB"/>
    <w:rsid w:val="3902057C"/>
    <w:rsid w:val="39041422"/>
    <w:rsid w:val="39050BD7"/>
    <w:rsid w:val="390B7DEE"/>
    <w:rsid w:val="39161457"/>
    <w:rsid w:val="392739CD"/>
    <w:rsid w:val="39285257"/>
    <w:rsid w:val="392F33E9"/>
    <w:rsid w:val="394058A1"/>
    <w:rsid w:val="395B587A"/>
    <w:rsid w:val="39634F2F"/>
    <w:rsid w:val="396B38F9"/>
    <w:rsid w:val="39725672"/>
    <w:rsid w:val="397C593B"/>
    <w:rsid w:val="398009F2"/>
    <w:rsid w:val="39856076"/>
    <w:rsid w:val="39904730"/>
    <w:rsid w:val="3998578F"/>
    <w:rsid w:val="399D40A6"/>
    <w:rsid w:val="399E10E9"/>
    <w:rsid w:val="39A15812"/>
    <w:rsid w:val="39A62BC5"/>
    <w:rsid w:val="39AB170B"/>
    <w:rsid w:val="39AB36B0"/>
    <w:rsid w:val="39AC5F39"/>
    <w:rsid w:val="39BD3526"/>
    <w:rsid w:val="39CA7EE1"/>
    <w:rsid w:val="39CF7C3B"/>
    <w:rsid w:val="39D0667C"/>
    <w:rsid w:val="39D13799"/>
    <w:rsid w:val="39D81C2E"/>
    <w:rsid w:val="39D834BC"/>
    <w:rsid w:val="39DB5D96"/>
    <w:rsid w:val="39E72C87"/>
    <w:rsid w:val="3A031FBB"/>
    <w:rsid w:val="3A0A1AA9"/>
    <w:rsid w:val="3A0B5777"/>
    <w:rsid w:val="3A155B6D"/>
    <w:rsid w:val="3A174B44"/>
    <w:rsid w:val="3A18071F"/>
    <w:rsid w:val="3A1E5170"/>
    <w:rsid w:val="3A340E74"/>
    <w:rsid w:val="3A3A6ED3"/>
    <w:rsid w:val="3A3B116A"/>
    <w:rsid w:val="3A40617E"/>
    <w:rsid w:val="3A4D2443"/>
    <w:rsid w:val="3A567FA2"/>
    <w:rsid w:val="3A6D28F3"/>
    <w:rsid w:val="3A6D578B"/>
    <w:rsid w:val="3A8335D3"/>
    <w:rsid w:val="3AA12391"/>
    <w:rsid w:val="3AB41160"/>
    <w:rsid w:val="3AB43C5D"/>
    <w:rsid w:val="3AB53404"/>
    <w:rsid w:val="3AB81F10"/>
    <w:rsid w:val="3AC00CC6"/>
    <w:rsid w:val="3AC46270"/>
    <w:rsid w:val="3ACA0E8E"/>
    <w:rsid w:val="3ACF410F"/>
    <w:rsid w:val="3AD338CF"/>
    <w:rsid w:val="3AE97133"/>
    <w:rsid w:val="3AF07747"/>
    <w:rsid w:val="3AF40AA8"/>
    <w:rsid w:val="3AF905E5"/>
    <w:rsid w:val="3B093699"/>
    <w:rsid w:val="3B0E32C8"/>
    <w:rsid w:val="3B1B1EED"/>
    <w:rsid w:val="3B1E77A1"/>
    <w:rsid w:val="3B226634"/>
    <w:rsid w:val="3B30376D"/>
    <w:rsid w:val="3B332520"/>
    <w:rsid w:val="3B336750"/>
    <w:rsid w:val="3B3E7874"/>
    <w:rsid w:val="3B476C5C"/>
    <w:rsid w:val="3B4B66AB"/>
    <w:rsid w:val="3B4B6968"/>
    <w:rsid w:val="3B4D2319"/>
    <w:rsid w:val="3B52584C"/>
    <w:rsid w:val="3B5C48FD"/>
    <w:rsid w:val="3B5D72EC"/>
    <w:rsid w:val="3B600818"/>
    <w:rsid w:val="3B764781"/>
    <w:rsid w:val="3B78287F"/>
    <w:rsid w:val="3B7A6828"/>
    <w:rsid w:val="3B917A3D"/>
    <w:rsid w:val="3B964F8C"/>
    <w:rsid w:val="3BA3417A"/>
    <w:rsid w:val="3BAD03B0"/>
    <w:rsid w:val="3BAD3C09"/>
    <w:rsid w:val="3BB27CC9"/>
    <w:rsid w:val="3BC25785"/>
    <w:rsid w:val="3BD33ADA"/>
    <w:rsid w:val="3BD43439"/>
    <w:rsid w:val="3BDB09BD"/>
    <w:rsid w:val="3BDC2AB5"/>
    <w:rsid w:val="3BDC484D"/>
    <w:rsid w:val="3BDE3AAA"/>
    <w:rsid w:val="3BE15761"/>
    <w:rsid w:val="3BF60A2E"/>
    <w:rsid w:val="3C2423A3"/>
    <w:rsid w:val="3C2E3ABB"/>
    <w:rsid w:val="3C354127"/>
    <w:rsid w:val="3C383785"/>
    <w:rsid w:val="3C4672D5"/>
    <w:rsid w:val="3C743B3F"/>
    <w:rsid w:val="3C75312D"/>
    <w:rsid w:val="3C7F73A4"/>
    <w:rsid w:val="3C9F674C"/>
    <w:rsid w:val="3CA1655A"/>
    <w:rsid w:val="3CA82ABA"/>
    <w:rsid w:val="3CAB23DB"/>
    <w:rsid w:val="3CAB622C"/>
    <w:rsid w:val="3CB06CF7"/>
    <w:rsid w:val="3CBB4053"/>
    <w:rsid w:val="3CBC1B1B"/>
    <w:rsid w:val="3CC65DEA"/>
    <w:rsid w:val="3CC70170"/>
    <w:rsid w:val="3CCC4D4C"/>
    <w:rsid w:val="3CDA79D6"/>
    <w:rsid w:val="3CE443AC"/>
    <w:rsid w:val="3CE6378A"/>
    <w:rsid w:val="3CFF781D"/>
    <w:rsid w:val="3D006537"/>
    <w:rsid w:val="3D04602E"/>
    <w:rsid w:val="3D051C8C"/>
    <w:rsid w:val="3D105DB8"/>
    <w:rsid w:val="3D1278CD"/>
    <w:rsid w:val="3D1651E3"/>
    <w:rsid w:val="3D230FA5"/>
    <w:rsid w:val="3D4753C2"/>
    <w:rsid w:val="3D502DD9"/>
    <w:rsid w:val="3D575A1F"/>
    <w:rsid w:val="3D5A5356"/>
    <w:rsid w:val="3D606D5A"/>
    <w:rsid w:val="3D6C04A2"/>
    <w:rsid w:val="3D6C7B1E"/>
    <w:rsid w:val="3D7B0EAE"/>
    <w:rsid w:val="3D7E169C"/>
    <w:rsid w:val="3D8842DF"/>
    <w:rsid w:val="3D8E489A"/>
    <w:rsid w:val="3D8F08A7"/>
    <w:rsid w:val="3D942DFB"/>
    <w:rsid w:val="3DA3457E"/>
    <w:rsid w:val="3DB3564E"/>
    <w:rsid w:val="3DB72439"/>
    <w:rsid w:val="3DE30D42"/>
    <w:rsid w:val="3DE50126"/>
    <w:rsid w:val="3DE734A8"/>
    <w:rsid w:val="3DE85616"/>
    <w:rsid w:val="3DEA6717"/>
    <w:rsid w:val="3DF066BE"/>
    <w:rsid w:val="3DF1237A"/>
    <w:rsid w:val="3DFC0FDC"/>
    <w:rsid w:val="3E0100A8"/>
    <w:rsid w:val="3E042B28"/>
    <w:rsid w:val="3E065D03"/>
    <w:rsid w:val="3E0D576A"/>
    <w:rsid w:val="3E15211A"/>
    <w:rsid w:val="3E25551A"/>
    <w:rsid w:val="3E2732A7"/>
    <w:rsid w:val="3E32130C"/>
    <w:rsid w:val="3E36060F"/>
    <w:rsid w:val="3E36080C"/>
    <w:rsid w:val="3E3C401A"/>
    <w:rsid w:val="3E433F6D"/>
    <w:rsid w:val="3E44218A"/>
    <w:rsid w:val="3E446FC6"/>
    <w:rsid w:val="3E457AC0"/>
    <w:rsid w:val="3E46589A"/>
    <w:rsid w:val="3E503CF0"/>
    <w:rsid w:val="3E5507F3"/>
    <w:rsid w:val="3E595BDA"/>
    <w:rsid w:val="3E643279"/>
    <w:rsid w:val="3E6B3B4F"/>
    <w:rsid w:val="3E6E2B13"/>
    <w:rsid w:val="3E793FCB"/>
    <w:rsid w:val="3E7B3C17"/>
    <w:rsid w:val="3E807C6B"/>
    <w:rsid w:val="3E8413CF"/>
    <w:rsid w:val="3E8823E8"/>
    <w:rsid w:val="3EA41F3B"/>
    <w:rsid w:val="3EAF785C"/>
    <w:rsid w:val="3EB5378A"/>
    <w:rsid w:val="3EBC5BF3"/>
    <w:rsid w:val="3EC86860"/>
    <w:rsid w:val="3EF16DA2"/>
    <w:rsid w:val="3EF230F9"/>
    <w:rsid w:val="3EF300AA"/>
    <w:rsid w:val="3EFA4897"/>
    <w:rsid w:val="3EFA7DE0"/>
    <w:rsid w:val="3F095ADA"/>
    <w:rsid w:val="3F0C51C1"/>
    <w:rsid w:val="3F0F6FB7"/>
    <w:rsid w:val="3F1C07B0"/>
    <w:rsid w:val="3F2000BF"/>
    <w:rsid w:val="3F214F25"/>
    <w:rsid w:val="3F2F0B00"/>
    <w:rsid w:val="3F3562E1"/>
    <w:rsid w:val="3F3F7018"/>
    <w:rsid w:val="3F407C46"/>
    <w:rsid w:val="3F496EA7"/>
    <w:rsid w:val="3F534A00"/>
    <w:rsid w:val="3F537B41"/>
    <w:rsid w:val="3F5C43D6"/>
    <w:rsid w:val="3F624259"/>
    <w:rsid w:val="3F626E4D"/>
    <w:rsid w:val="3F653A52"/>
    <w:rsid w:val="3F6C0920"/>
    <w:rsid w:val="3F741B48"/>
    <w:rsid w:val="3F78191C"/>
    <w:rsid w:val="3F783568"/>
    <w:rsid w:val="3F7A1AAF"/>
    <w:rsid w:val="3F7D08A7"/>
    <w:rsid w:val="3F7E4AA5"/>
    <w:rsid w:val="3F7E569A"/>
    <w:rsid w:val="3F813904"/>
    <w:rsid w:val="3F8A7998"/>
    <w:rsid w:val="3F8B2820"/>
    <w:rsid w:val="3FA8507A"/>
    <w:rsid w:val="3FBC5D40"/>
    <w:rsid w:val="3FC55420"/>
    <w:rsid w:val="3FC936F7"/>
    <w:rsid w:val="3FE8415D"/>
    <w:rsid w:val="3FEA5B8A"/>
    <w:rsid w:val="3FEC10DB"/>
    <w:rsid w:val="3FF45F20"/>
    <w:rsid w:val="3FF47EE2"/>
    <w:rsid w:val="3FFA0954"/>
    <w:rsid w:val="3FFF626D"/>
    <w:rsid w:val="40121EF7"/>
    <w:rsid w:val="40247999"/>
    <w:rsid w:val="40282971"/>
    <w:rsid w:val="4038105F"/>
    <w:rsid w:val="403911CE"/>
    <w:rsid w:val="403A0DD2"/>
    <w:rsid w:val="40450277"/>
    <w:rsid w:val="405428A2"/>
    <w:rsid w:val="405A3B40"/>
    <w:rsid w:val="405D354E"/>
    <w:rsid w:val="406D08C6"/>
    <w:rsid w:val="406D0C6A"/>
    <w:rsid w:val="406F5D95"/>
    <w:rsid w:val="40777C63"/>
    <w:rsid w:val="408B053C"/>
    <w:rsid w:val="408B18EF"/>
    <w:rsid w:val="409C7074"/>
    <w:rsid w:val="40A04EAA"/>
    <w:rsid w:val="40A42822"/>
    <w:rsid w:val="40A742D2"/>
    <w:rsid w:val="40AB069B"/>
    <w:rsid w:val="40B10C34"/>
    <w:rsid w:val="40B5528E"/>
    <w:rsid w:val="40BA1AEF"/>
    <w:rsid w:val="40BD1EE6"/>
    <w:rsid w:val="40CB45A4"/>
    <w:rsid w:val="40CD1439"/>
    <w:rsid w:val="40D21EAD"/>
    <w:rsid w:val="40D861A7"/>
    <w:rsid w:val="40D910E2"/>
    <w:rsid w:val="40DF325E"/>
    <w:rsid w:val="40E57226"/>
    <w:rsid w:val="40E86470"/>
    <w:rsid w:val="40EE5DCC"/>
    <w:rsid w:val="40F05B0A"/>
    <w:rsid w:val="40F077B3"/>
    <w:rsid w:val="40F173B9"/>
    <w:rsid w:val="41082368"/>
    <w:rsid w:val="410D62E6"/>
    <w:rsid w:val="410F7753"/>
    <w:rsid w:val="41114E45"/>
    <w:rsid w:val="41126378"/>
    <w:rsid w:val="411920B4"/>
    <w:rsid w:val="411D6786"/>
    <w:rsid w:val="41277B79"/>
    <w:rsid w:val="413750D5"/>
    <w:rsid w:val="413F3D30"/>
    <w:rsid w:val="41434944"/>
    <w:rsid w:val="41534C32"/>
    <w:rsid w:val="415955D3"/>
    <w:rsid w:val="415C07A6"/>
    <w:rsid w:val="41603558"/>
    <w:rsid w:val="4160791D"/>
    <w:rsid w:val="41622DA8"/>
    <w:rsid w:val="416267EE"/>
    <w:rsid w:val="41645765"/>
    <w:rsid w:val="41686319"/>
    <w:rsid w:val="416870EC"/>
    <w:rsid w:val="41691829"/>
    <w:rsid w:val="416C5F7A"/>
    <w:rsid w:val="416E56A4"/>
    <w:rsid w:val="4173114C"/>
    <w:rsid w:val="41736B5C"/>
    <w:rsid w:val="41744B68"/>
    <w:rsid w:val="41772038"/>
    <w:rsid w:val="41775552"/>
    <w:rsid w:val="417B0BF3"/>
    <w:rsid w:val="417C6A83"/>
    <w:rsid w:val="4184497F"/>
    <w:rsid w:val="41871848"/>
    <w:rsid w:val="41923730"/>
    <w:rsid w:val="41937A54"/>
    <w:rsid w:val="41C643BE"/>
    <w:rsid w:val="41D747D1"/>
    <w:rsid w:val="41E00F03"/>
    <w:rsid w:val="41E73EBD"/>
    <w:rsid w:val="41ED4C9A"/>
    <w:rsid w:val="41EE4AD1"/>
    <w:rsid w:val="41F41BC0"/>
    <w:rsid w:val="41F477B2"/>
    <w:rsid w:val="41F85DCB"/>
    <w:rsid w:val="42027A33"/>
    <w:rsid w:val="42050BB7"/>
    <w:rsid w:val="420B47F1"/>
    <w:rsid w:val="42107462"/>
    <w:rsid w:val="421138F3"/>
    <w:rsid w:val="42144F39"/>
    <w:rsid w:val="421B376A"/>
    <w:rsid w:val="422A2EBE"/>
    <w:rsid w:val="42363D7E"/>
    <w:rsid w:val="42407972"/>
    <w:rsid w:val="425438F8"/>
    <w:rsid w:val="426D1AF9"/>
    <w:rsid w:val="42817119"/>
    <w:rsid w:val="428E6753"/>
    <w:rsid w:val="42B63740"/>
    <w:rsid w:val="42B80068"/>
    <w:rsid w:val="42BF3600"/>
    <w:rsid w:val="42C635AB"/>
    <w:rsid w:val="42CC41ED"/>
    <w:rsid w:val="42CD7A58"/>
    <w:rsid w:val="42DE4937"/>
    <w:rsid w:val="42E4482F"/>
    <w:rsid w:val="42E74894"/>
    <w:rsid w:val="42E80112"/>
    <w:rsid w:val="42E80BE7"/>
    <w:rsid w:val="42EA2674"/>
    <w:rsid w:val="42FF0A4E"/>
    <w:rsid w:val="42FF4FD2"/>
    <w:rsid w:val="43030B11"/>
    <w:rsid w:val="43072C25"/>
    <w:rsid w:val="430B7F74"/>
    <w:rsid w:val="43105BAF"/>
    <w:rsid w:val="43197002"/>
    <w:rsid w:val="431D2F80"/>
    <w:rsid w:val="431E756D"/>
    <w:rsid w:val="43205943"/>
    <w:rsid w:val="435306A7"/>
    <w:rsid w:val="435931F2"/>
    <w:rsid w:val="4359639F"/>
    <w:rsid w:val="435A2947"/>
    <w:rsid w:val="435D6F74"/>
    <w:rsid w:val="43611965"/>
    <w:rsid w:val="43642B1D"/>
    <w:rsid w:val="436C1FC8"/>
    <w:rsid w:val="43700594"/>
    <w:rsid w:val="43732E78"/>
    <w:rsid w:val="43793E38"/>
    <w:rsid w:val="43811B04"/>
    <w:rsid w:val="438F5DCE"/>
    <w:rsid w:val="43A3234E"/>
    <w:rsid w:val="43A342D8"/>
    <w:rsid w:val="43AE2E0D"/>
    <w:rsid w:val="43B34D0B"/>
    <w:rsid w:val="43B52BC6"/>
    <w:rsid w:val="43C32F42"/>
    <w:rsid w:val="43C97B56"/>
    <w:rsid w:val="43CE13BE"/>
    <w:rsid w:val="43D25349"/>
    <w:rsid w:val="43D937EC"/>
    <w:rsid w:val="43DE5D0C"/>
    <w:rsid w:val="43E02455"/>
    <w:rsid w:val="43EC6B09"/>
    <w:rsid w:val="43FE5DB1"/>
    <w:rsid w:val="440067C9"/>
    <w:rsid w:val="44073A48"/>
    <w:rsid w:val="440F7E6A"/>
    <w:rsid w:val="44167D41"/>
    <w:rsid w:val="442147A2"/>
    <w:rsid w:val="44223E0E"/>
    <w:rsid w:val="442C4C7F"/>
    <w:rsid w:val="442D0AA5"/>
    <w:rsid w:val="443516B6"/>
    <w:rsid w:val="444F1108"/>
    <w:rsid w:val="44511999"/>
    <w:rsid w:val="445760CA"/>
    <w:rsid w:val="445953B8"/>
    <w:rsid w:val="44665051"/>
    <w:rsid w:val="44711679"/>
    <w:rsid w:val="447521B1"/>
    <w:rsid w:val="44875E7F"/>
    <w:rsid w:val="448D19A9"/>
    <w:rsid w:val="448E46F8"/>
    <w:rsid w:val="44906BF1"/>
    <w:rsid w:val="4492358A"/>
    <w:rsid w:val="44982C92"/>
    <w:rsid w:val="449C503F"/>
    <w:rsid w:val="449D6D76"/>
    <w:rsid w:val="44B21F69"/>
    <w:rsid w:val="44B44F90"/>
    <w:rsid w:val="44BC425D"/>
    <w:rsid w:val="44BE4D3E"/>
    <w:rsid w:val="44CD3295"/>
    <w:rsid w:val="44D57EE2"/>
    <w:rsid w:val="44DB2AB5"/>
    <w:rsid w:val="44DE04D4"/>
    <w:rsid w:val="44E9034C"/>
    <w:rsid w:val="44F215A8"/>
    <w:rsid w:val="44FA0E1F"/>
    <w:rsid w:val="44FD53A0"/>
    <w:rsid w:val="450C347C"/>
    <w:rsid w:val="450D614C"/>
    <w:rsid w:val="45116553"/>
    <w:rsid w:val="45206326"/>
    <w:rsid w:val="45423324"/>
    <w:rsid w:val="454E1331"/>
    <w:rsid w:val="455932E8"/>
    <w:rsid w:val="455A3F5B"/>
    <w:rsid w:val="455B0F64"/>
    <w:rsid w:val="45604017"/>
    <w:rsid w:val="45704792"/>
    <w:rsid w:val="45815A18"/>
    <w:rsid w:val="45952293"/>
    <w:rsid w:val="4595533A"/>
    <w:rsid w:val="4595753A"/>
    <w:rsid w:val="459B42F3"/>
    <w:rsid w:val="45A03CD6"/>
    <w:rsid w:val="45A30BB3"/>
    <w:rsid w:val="45B10667"/>
    <w:rsid w:val="45B422D4"/>
    <w:rsid w:val="45B52D2C"/>
    <w:rsid w:val="45BA5BB9"/>
    <w:rsid w:val="45CE3B4C"/>
    <w:rsid w:val="45D03EF8"/>
    <w:rsid w:val="45DF1526"/>
    <w:rsid w:val="45E124B2"/>
    <w:rsid w:val="45E45F0F"/>
    <w:rsid w:val="45E75834"/>
    <w:rsid w:val="45E9217D"/>
    <w:rsid w:val="45F30D3A"/>
    <w:rsid w:val="45F809DF"/>
    <w:rsid w:val="45FF46C9"/>
    <w:rsid w:val="46003ABE"/>
    <w:rsid w:val="46134FA2"/>
    <w:rsid w:val="461524F7"/>
    <w:rsid w:val="461E3141"/>
    <w:rsid w:val="46265E80"/>
    <w:rsid w:val="462B55EF"/>
    <w:rsid w:val="46333472"/>
    <w:rsid w:val="46394F31"/>
    <w:rsid w:val="463A3CFA"/>
    <w:rsid w:val="46532E46"/>
    <w:rsid w:val="46671256"/>
    <w:rsid w:val="46733FB6"/>
    <w:rsid w:val="467955D3"/>
    <w:rsid w:val="468E3B67"/>
    <w:rsid w:val="46936062"/>
    <w:rsid w:val="469778EA"/>
    <w:rsid w:val="46A74C79"/>
    <w:rsid w:val="46A75934"/>
    <w:rsid w:val="46A94AB1"/>
    <w:rsid w:val="46BB6376"/>
    <w:rsid w:val="46BF7718"/>
    <w:rsid w:val="46CD192D"/>
    <w:rsid w:val="46DB155E"/>
    <w:rsid w:val="46DB1E32"/>
    <w:rsid w:val="46DD4BEB"/>
    <w:rsid w:val="46DD4D21"/>
    <w:rsid w:val="46F109A8"/>
    <w:rsid w:val="471151D7"/>
    <w:rsid w:val="47177581"/>
    <w:rsid w:val="474D000E"/>
    <w:rsid w:val="474E6DEE"/>
    <w:rsid w:val="4756081E"/>
    <w:rsid w:val="477C0AE7"/>
    <w:rsid w:val="478B3ACA"/>
    <w:rsid w:val="478B51FC"/>
    <w:rsid w:val="47B068FC"/>
    <w:rsid w:val="47BA75CF"/>
    <w:rsid w:val="47C237A3"/>
    <w:rsid w:val="47D54EAC"/>
    <w:rsid w:val="47D73723"/>
    <w:rsid w:val="47E65A33"/>
    <w:rsid w:val="47F06768"/>
    <w:rsid w:val="48046339"/>
    <w:rsid w:val="48160455"/>
    <w:rsid w:val="48261984"/>
    <w:rsid w:val="482634B7"/>
    <w:rsid w:val="48285F33"/>
    <w:rsid w:val="482A2F5D"/>
    <w:rsid w:val="48343C6E"/>
    <w:rsid w:val="4843495F"/>
    <w:rsid w:val="48514723"/>
    <w:rsid w:val="48641329"/>
    <w:rsid w:val="48726106"/>
    <w:rsid w:val="48765DDB"/>
    <w:rsid w:val="487A5258"/>
    <w:rsid w:val="48802E8C"/>
    <w:rsid w:val="4884303D"/>
    <w:rsid w:val="488940B8"/>
    <w:rsid w:val="488A752D"/>
    <w:rsid w:val="488C7BDA"/>
    <w:rsid w:val="48924C2F"/>
    <w:rsid w:val="489B3890"/>
    <w:rsid w:val="489E0F6F"/>
    <w:rsid w:val="48A030A4"/>
    <w:rsid w:val="48A93172"/>
    <w:rsid w:val="48B7143C"/>
    <w:rsid w:val="48B91829"/>
    <w:rsid w:val="48B92384"/>
    <w:rsid w:val="48C37E6D"/>
    <w:rsid w:val="48C61083"/>
    <w:rsid w:val="48C7367E"/>
    <w:rsid w:val="48CA4280"/>
    <w:rsid w:val="48CD74D8"/>
    <w:rsid w:val="48CF73FA"/>
    <w:rsid w:val="48D173B8"/>
    <w:rsid w:val="48F869C3"/>
    <w:rsid w:val="48FC4177"/>
    <w:rsid w:val="49016D44"/>
    <w:rsid w:val="4902441E"/>
    <w:rsid w:val="491A084B"/>
    <w:rsid w:val="491D2FE5"/>
    <w:rsid w:val="491D4E75"/>
    <w:rsid w:val="49263C8E"/>
    <w:rsid w:val="4928270E"/>
    <w:rsid w:val="49293A04"/>
    <w:rsid w:val="492A337A"/>
    <w:rsid w:val="4930480C"/>
    <w:rsid w:val="493C2A90"/>
    <w:rsid w:val="49456040"/>
    <w:rsid w:val="4947267A"/>
    <w:rsid w:val="49526C8B"/>
    <w:rsid w:val="49575078"/>
    <w:rsid w:val="495D79CB"/>
    <w:rsid w:val="4962179E"/>
    <w:rsid w:val="49624E42"/>
    <w:rsid w:val="496A3B11"/>
    <w:rsid w:val="497A4E39"/>
    <w:rsid w:val="4985305E"/>
    <w:rsid w:val="49874010"/>
    <w:rsid w:val="498D603A"/>
    <w:rsid w:val="49973E8B"/>
    <w:rsid w:val="49A46998"/>
    <w:rsid w:val="49B40BB7"/>
    <w:rsid w:val="49B73FFC"/>
    <w:rsid w:val="49B77E13"/>
    <w:rsid w:val="49BA09DD"/>
    <w:rsid w:val="49BB2EF2"/>
    <w:rsid w:val="49CA1C90"/>
    <w:rsid w:val="49D11BB5"/>
    <w:rsid w:val="49DE736B"/>
    <w:rsid w:val="49E61A93"/>
    <w:rsid w:val="49EC5081"/>
    <w:rsid w:val="49F12780"/>
    <w:rsid w:val="49F92964"/>
    <w:rsid w:val="49FC2EDC"/>
    <w:rsid w:val="4A062298"/>
    <w:rsid w:val="4A087D32"/>
    <w:rsid w:val="4A0919B5"/>
    <w:rsid w:val="4A0A0909"/>
    <w:rsid w:val="4A1A2584"/>
    <w:rsid w:val="4A1A6BBA"/>
    <w:rsid w:val="4A3B5258"/>
    <w:rsid w:val="4A4E3365"/>
    <w:rsid w:val="4A5362A8"/>
    <w:rsid w:val="4A5438FD"/>
    <w:rsid w:val="4A6135B0"/>
    <w:rsid w:val="4A6D7ABE"/>
    <w:rsid w:val="4A7D1C6B"/>
    <w:rsid w:val="4A824992"/>
    <w:rsid w:val="4A83685D"/>
    <w:rsid w:val="4A8450E5"/>
    <w:rsid w:val="4AA24AC6"/>
    <w:rsid w:val="4AAB4FE7"/>
    <w:rsid w:val="4AB469C8"/>
    <w:rsid w:val="4ABB5B47"/>
    <w:rsid w:val="4ACE0864"/>
    <w:rsid w:val="4AD0667C"/>
    <w:rsid w:val="4AD420F1"/>
    <w:rsid w:val="4AD619F8"/>
    <w:rsid w:val="4AD67BBF"/>
    <w:rsid w:val="4AD818BF"/>
    <w:rsid w:val="4AE27A62"/>
    <w:rsid w:val="4AE3237E"/>
    <w:rsid w:val="4AEA04BB"/>
    <w:rsid w:val="4AEC205D"/>
    <w:rsid w:val="4AF6071C"/>
    <w:rsid w:val="4AF674F2"/>
    <w:rsid w:val="4AFB5B56"/>
    <w:rsid w:val="4B067AE1"/>
    <w:rsid w:val="4B0C77CE"/>
    <w:rsid w:val="4B1278B1"/>
    <w:rsid w:val="4B1B2754"/>
    <w:rsid w:val="4B285ADE"/>
    <w:rsid w:val="4B2F02E1"/>
    <w:rsid w:val="4B3207BC"/>
    <w:rsid w:val="4B3A77FB"/>
    <w:rsid w:val="4B420FDD"/>
    <w:rsid w:val="4B431541"/>
    <w:rsid w:val="4B432624"/>
    <w:rsid w:val="4B59690B"/>
    <w:rsid w:val="4B864D16"/>
    <w:rsid w:val="4B8A111C"/>
    <w:rsid w:val="4B8D7F7C"/>
    <w:rsid w:val="4B935731"/>
    <w:rsid w:val="4B946297"/>
    <w:rsid w:val="4BB0001D"/>
    <w:rsid w:val="4BCA1D44"/>
    <w:rsid w:val="4BCD1A0B"/>
    <w:rsid w:val="4BE9256F"/>
    <w:rsid w:val="4C054B90"/>
    <w:rsid w:val="4C065348"/>
    <w:rsid w:val="4C091AB2"/>
    <w:rsid w:val="4C0F1B6F"/>
    <w:rsid w:val="4C104D11"/>
    <w:rsid w:val="4C1058DD"/>
    <w:rsid w:val="4C184D41"/>
    <w:rsid w:val="4C1F2AAF"/>
    <w:rsid w:val="4C277E96"/>
    <w:rsid w:val="4C297118"/>
    <w:rsid w:val="4C31630B"/>
    <w:rsid w:val="4C372104"/>
    <w:rsid w:val="4C3F61A7"/>
    <w:rsid w:val="4C4125BE"/>
    <w:rsid w:val="4C450E5D"/>
    <w:rsid w:val="4C5A7CAB"/>
    <w:rsid w:val="4C687FF3"/>
    <w:rsid w:val="4C6D440F"/>
    <w:rsid w:val="4C7A6658"/>
    <w:rsid w:val="4C7E349B"/>
    <w:rsid w:val="4C8A46A7"/>
    <w:rsid w:val="4C8B32F1"/>
    <w:rsid w:val="4C8D7854"/>
    <w:rsid w:val="4C900FC1"/>
    <w:rsid w:val="4CB04922"/>
    <w:rsid w:val="4CB30BC8"/>
    <w:rsid w:val="4CB30FE5"/>
    <w:rsid w:val="4CBE4932"/>
    <w:rsid w:val="4CC062F3"/>
    <w:rsid w:val="4CCF1B84"/>
    <w:rsid w:val="4CD33B34"/>
    <w:rsid w:val="4CDE6C51"/>
    <w:rsid w:val="4CE60D87"/>
    <w:rsid w:val="4CF41BFE"/>
    <w:rsid w:val="4CFC4C38"/>
    <w:rsid w:val="4CFF642D"/>
    <w:rsid w:val="4D005A19"/>
    <w:rsid w:val="4D0267F4"/>
    <w:rsid w:val="4D0829A8"/>
    <w:rsid w:val="4D0E5BBE"/>
    <w:rsid w:val="4D1779E8"/>
    <w:rsid w:val="4D1E66A6"/>
    <w:rsid w:val="4D226093"/>
    <w:rsid w:val="4D457128"/>
    <w:rsid w:val="4D483972"/>
    <w:rsid w:val="4D4E0925"/>
    <w:rsid w:val="4D4E140A"/>
    <w:rsid w:val="4D5106A2"/>
    <w:rsid w:val="4D5B39A9"/>
    <w:rsid w:val="4D600525"/>
    <w:rsid w:val="4D6171A9"/>
    <w:rsid w:val="4D662F0C"/>
    <w:rsid w:val="4D673DB9"/>
    <w:rsid w:val="4D6C5202"/>
    <w:rsid w:val="4D720028"/>
    <w:rsid w:val="4D7C21E2"/>
    <w:rsid w:val="4D7D4677"/>
    <w:rsid w:val="4D7F759C"/>
    <w:rsid w:val="4D896BAF"/>
    <w:rsid w:val="4D921F76"/>
    <w:rsid w:val="4D93276D"/>
    <w:rsid w:val="4D971E47"/>
    <w:rsid w:val="4DA413FF"/>
    <w:rsid w:val="4DA415D9"/>
    <w:rsid w:val="4DAB3423"/>
    <w:rsid w:val="4DAE2008"/>
    <w:rsid w:val="4DB24DF6"/>
    <w:rsid w:val="4DB3753C"/>
    <w:rsid w:val="4DB417DF"/>
    <w:rsid w:val="4DB74BF7"/>
    <w:rsid w:val="4DB80685"/>
    <w:rsid w:val="4DCE5F4C"/>
    <w:rsid w:val="4DEC52F2"/>
    <w:rsid w:val="4DF8403C"/>
    <w:rsid w:val="4DFC640D"/>
    <w:rsid w:val="4E030AEA"/>
    <w:rsid w:val="4E0F4D79"/>
    <w:rsid w:val="4E277D26"/>
    <w:rsid w:val="4E2A6FE5"/>
    <w:rsid w:val="4E324379"/>
    <w:rsid w:val="4E352A9C"/>
    <w:rsid w:val="4E3615A7"/>
    <w:rsid w:val="4E361B6D"/>
    <w:rsid w:val="4E386778"/>
    <w:rsid w:val="4E4A3FBA"/>
    <w:rsid w:val="4E4B415D"/>
    <w:rsid w:val="4E61657A"/>
    <w:rsid w:val="4E710E5C"/>
    <w:rsid w:val="4E7E59C0"/>
    <w:rsid w:val="4E81269C"/>
    <w:rsid w:val="4E8E12B1"/>
    <w:rsid w:val="4E975CCA"/>
    <w:rsid w:val="4E9C403B"/>
    <w:rsid w:val="4EA82617"/>
    <w:rsid w:val="4EAF224E"/>
    <w:rsid w:val="4EB574F8"/>
    <w:rsid w:val="4EBC2C07"/>
    <w:rsid w:val="4EC36056"/>
    <w:rsid w:val="4EC760CD"/>
    <w:rsid w:val="4ECB3484"/>
    <w:rsid w:val="4ED94C5E"/>
    <w:rsid w:val="4EDC62BD"/>
    <w:rsid w:val="4EE44F81"/>
    <w:rsid w:val="4EE4798A"/>
    <w:rsid w:val="4EE626BA"/>
    <w:rsid w:val="4EEB1CED"/>
    <w:rsid w:val="4EFA420F"/>
    <w:rsid w:val="4EFB11DF"/>
    <w:rsid w:val="4EFB377E"/>
    <w:rsid w:val="4EFF67F2"/>
    <w:rsid w:val="4F0F7757"/>
    <w:rsid w:val="4F150B75"/>
    <w:rsid w:val="4F163663"/>
    <w:rsid w:val="4F1C22BD"/>
    <w:rsid w:val="4F1C6E11"/>
    <w:rsid w:val="4F1E0A50"/>
    <w:rsid w:val="4F207B29"/>
    <w:rsid w:val="4F2365F6"/>
    <w:rsid w:val="4F2A4EC1"/>
    <w:rsid w:val="4F2C3CB1"/>
    <w:rsid w:val="4F332D3A"/>
    <w:rsid w:val="4F3363A7"/>
    <w:rsid w:val="4F34334A"/>
    <w:rsid w:val="4F475B51"/>
    <w:rsid w:val="4F480E4C"/>
    <w:rsid w:val="4F612E30"/>
    <w:rsid w:val="4F615856"/>
    <w:rsid w:val="4F6F621F"/>
    <w:rsid w:val="4F6F6FB6"/>
    <w:rsid w:val="4F7D308D"/>
    <w:rsid w:val="4F864F41"/>
    <w:rsid w:val="4F873904"/>
    <w:rsid w:val="4F90024E"/>
    <w:rsid w:val="4F934BD1"/>
    <w:rsid w:val="4F993FCC"/>
    <w:rsid w:val="4F9E14E6"/>
    <w:rsid w:val="4F9E5CAD"/>
    <w:rsid w:val="4FA832C0"/>
    <w:rsid w:val="4FB33796"/>
    <w:rsid w:val="4FB813CB"/>
    <w:rsid w:val="4FBD37D7"/>
    <w:rsid w:val="4FD23F53"/>
    <w:rsid w:val="4FE70A00"/>
    <w:rsid w:val="4FE720BD"/>
    <w:rsid w:val="4FE778A0"/>
    <w:rsid w:val="50031D93"/>
    <w:rsid w:val="50037BCE"/>
    <w:rsid w:val="50037F41"/>
    <w:rsid w:val="500E5CE5"/>
    <w:rsid w:val="500F67B4"/>
    <w:rsid w:val="50115149"/>
    <w:rsid w:val="502B45FC"/>
    <w:rsid w:val="503A3B82"/>
    <w:rsid w:val="503C5EB0"/>
    <w:rsid w:val="50514C1C"/>
    <w:rsid w:val="50527B09"/>
    <w:rsid w:val="505A1FF9"/>
    <w:rsid w:val="505D69A6"/>
    <w:rsid w:val="506E2B30"/>
    <w:rsid w:val="506F6AAD"/>
    <w:rsid w:val="50770645"/>
    <w:rsid w:val="50775342"/>
    <w:rsid w:val="50811B7B"/>
    <w:rsid w:val="50931AFE"/>
    <w:rsid w:val="5093597A"/>
    <w:rsid w:val="50983437"/>
    <w:rsid w:val="50AD2A1F"/>
    <w:rsid w:val="50CB337E"/>
    <w:rsid w:val="50CF0B69"/>
    <w:rsid w:val="50D20D94"/>
    <w:rsid w:val="50D36092"/>
    <w:rsid w:val="50DA24D6"/>
    <w:rsid w:val="50DC2B5E"/>
    <w:rsid w:val="50E35007"/>
    <w:rsid w:val="50F30F92"/>
    <w:rsid w:val="50F365E0"/>
    <w:rsid w:val="50F53AF1"/>
    <w:rsid w:val="51066B99"/>
    <w:rsid w:val="5107553B"/>
    <w:rsid w:val="5115268F"/>
    <w:rsid w:val="511575E7"/>
    <w:rsid w:val="51196D64"/>
    <w:rsid w:val="512E6BD7"/>
    <w:rsid w:val="513E1FC2"/>
    <w:rsid w:val="5144761D"/>
    <w:rsid w:val="5148519A"/>
    <w:rsid w:val="514B301B"/>
    <w:rsid w:val="51542293"/>
    <w:rsid w:val="51565874"/>
    <w:rsid w:val="515975C0"/>
    <w:rsid w:val="515F38FA"/>
    <w:rsid w:val="51667204"/>
    <w:rsid w:val="51670296"/>
    <w:rsid w:val="516717C4"/>
    <w:rsid w:val="516B5761"/>
    <w:rsid w:val="517E00F0"/>
    <w:rsid w:val="5184401E"/>
    <w:rsid w:val="51943AAA"/>
    <w:rsid w:val="51A14D8A"/>
    <w:rsid w:val="51B00BF1"/>
    <w:rsid w:val="51B60511"/>
    <w:rsid w:val="51BB7B4F"/>
    <w:rsid w:val="51C2466A"/>
    <w:rsid w:val="51DD41F3"/>
    <w:rsid w:val="51EB1612"/>
    <w:rsid w:val="51EF4DB5"/>
    <w:rsid w:val="51F55024"/>
    <w:rsid w:val="5201327D"/>
    <w:rsid w:val="52104DDF"/>
    <w:rsid w:val="522F1506"/>
    <w:rsid w:val="5234212A"/>
    <w:rsid w:val="523D2419"/>
    <w:rsid w:val="523F5ED5"/>
    <w:rsid w:val="52574377"/>
    <w:rsid w:val="525B0838"/>
    <w:rsid w:val="526819C8"/>
    <w:rsid w:val="52754056"/>
    <w:rsid w:val="527C3FF3"/>
    <w:rsid w:val="52874272"/>
    <w:rsid w:val="528A7E23"/>
    <w:rsid w:val="529464C3"/>
    <w:rsid w:val="529D4639"/>
    <w:rsid w:val="52A50E75"/>
    <w:rsid w:val="52A922E7"/>
    <w:rsid w:val="52B34242"/>
    <w:rsid w:val="52B565F9"/>
    <w:rsid w:val="52BC2B39"/>
    <w:rsid w:val="52BD7DAA"/>
    <w:rsid w:val="52C17CEE"/>
    <w:rsid w:val="52C44B35"/>
    <w:rsid w:val="52CE6E26"/>
    <w:rsid w:val="52D4455E"/>
    <w:rsid w:val="52D73B67"/>
    <w:rsid w:val="52E355E8"/>
    <w:rsid w:val="52EB5146"/>
    <w:rsid w:val="52FA02DA"/>
    <w:rsid w:val="53030D15"/>
    <w:rsid w:val="53140EC7"/>
    <w:rsid w:val="5320407C"/>
    <w:rsid w:val="53213666"/>
    <w:rsid w:val="5324209A"/>
    <w:rsid w:val="53266E12"/>
    <w:rsid w:val="532A331B"/>
    <w:rsid w:val="532B5C57"/>
    <w:rsid w:val="53315181"/>
    <w:rsid w:val="5338101F"/>
    <w:rsid w:val="533E5926"/>
    <w:rsid w:val="534105ED"/>
    <w:rsid w:val="53641F8A"/>
    <w:rsid w:val="53677F32"/>
    <w:rsid w:val="536A15E9"/>
    <w:rsid w:val="536F714D"/>
    <w:rsid w:val="53806381"/>
    <w:rsid w:val="538722F9"/>
    <w:rsid w:val="53921506"/>
    <w:rsid w:val="53933D76"/>
    <w:rsid w:val="53983BB8"/>
    <w:rsid w:val="539A2D0E"/>
    <w:rsid w:val="539C6F9E"/>
    <w:rsid w:val="53A7060F"/>
    <w:rsid w:val="53AE0A13"/>
    <w:rsid w:val="53BA6A76"/>
    <w:rsid w:val="53BD7C3A"/>
    <w:rsid w:val="53BE2D0E"/>
    <w:rsid w:val="53C26860"/>
    <w:rsid w:val="53CD6A17"/>
    <w:rsid w:val="53DE0F37"/>
    <w:rsid w:val="53DF5C6A"/>
    <w:rsid w:val="53E727DD"/>
    <w:rsid w:val="53EA16F2"/>
    <w:rsid w:val="53ED6A06"/>
    <w:rsid w:val="53F315F6"/>
    <w:rsid w:val="53FB4B08"/>
    <w:rsid w:val="53FB6AE7"/>
    <w:rsid w:val="53FD721B"/>
    <w:rsid w:val="54030A05"/>
    <w:rsid w:val="540728A3"/>
    <w:rsid w:val="5409075A"/>
    <w:rsid w:val="540C02AA"/>
    <w:rsid w:val="540C5D56"/>
    <w:rsid w:val="540E0B80"/>
    <w:rsid w:val="54113338"/>
    <w:rsid w:val="54294E56"/>
    <w:rsid w:val="54362D54"/>
    <w:rsid w:val="5439051F"/>
    <w:rsid w:val="543A7E24"/>
    <w:rsid w:val="544347E8"/>
    <w:rsid w:val="54434A34"/>
    <w:rsid w:val="54442F39"/>
    <w:rsid w:val="54554BEE"/>
    <w:rsid w:val="54631517"/>
    <w:rsid w:val="547353D3"/>
    <w:rsid w:val="547561B2"/>
    <w:rsid w:val="547907CF"/>
    <w:rsid w:val="547D50AD"/>
    <w:rsid w:val="549528B9"/>
    <w:rsid w:val="54A00E45"/>
    <w:rsid w:val="54A613EC"/>
    <w:rsid w:val="54A834E3"/>
    <w:rsid w:val="54B2567B"/>
    <w:rsid w:val="54BD12DC"/>
    <w:rsid w:val="54BF10E9"/>
    <w:rsid w:val="54CF2B22"/>
    <w:rsid w:val="54D038C9"/>
    <w:rsid w:val="54DB52D6"/>
    <w:rsid w:val="54DB7EF6"/>
    <w:rsid w:val="54EA7F84"/>
    <w:rsid w:val="54ED4DCE"/>
    <w:rsid w:val="54FA2ED1"/>
    <w:rsid w:val="54FB63AD"/>
    <w:rsid w:val="551B19F3"/>
    <w:rsid w:val="55280416"/>
    <w:rsid w:val="5531035B"/>
    <w:rsid w:val="553C1072"/>
    <w:rsid w:val="553D0930"/>
    <w:rsid w:val="554E444D"/>
    <w:rsid w:val="555B40E5"/>
    <w:rsid w:val="5566658B"/>
    <w:rsid w:val="55696243"/>
    <w:rsid w:val="556E7977"/>
    <w:rsid w:val="55846F0C"/>
    <w:rsid w:val="55857D79"/>
    <w:rsid w:val="558E04E4"/>
    <w:rsid w:val="558F6089"/>
    <w:rsid w:val="55966ACB"/>
    <w:rsid w:val="559702F9"/>
    <w:rsid w:val="559813CA"/>
    <w:rsid w:val="55A31B64"/>
    <w:rsid w:val="55AD4BB3"/>
    <w:rsid w:val="55B01AA7"/>
    <w:rsid w:val="55BA220D"/>
    <w:rsid w:val="55BB7620"/>
    <w:rsid w:val="55C3524B"/>
    <w:rsid w:val="55C401E8"/>
    <w:rsid w:val="55C4395B"/>
    <w:rsid w:val="55C84F6B"/>
    <w:rsid w:val="55CE7C03"/>
    <w:rsid w:val="55D4010C"/>
    <w:rsid w:val="55D95B3A"/>
    <w:rsid w:val="55DB4D41"/>
    <w:rsid w:val="55DD7948"/>
    <w:rsid w:val="55E81558"/>
    <w:rsid w:val="55ED0BBC"/>
    <w:rsid w:val="55F83AFC"/>
    <w:rsid w:val="56096419"/>
    <w:rsid w:val="560F7614"/>
    <w:rsid w:val="561C2AD3"/>
    <w:rsid w:val="561D3124"/>
    <w:rsid w:val="56242342"/>
    <w:rsid w:val="562B7CA4"/>
    <w:rsid w:val="564C7E4B"/>
    <w:rsid w:val="56526EF6"/>
    <w:rsid w:val="5655623B"/>
    <w:rsid w:val="565A7684"/>
    <w:rsid w:val="565A7ABF"/>
    <w:rsid w:val="565B30AD"/>
    <w:rsid w:val="565F6C26"/>
    <w:rsid w:val="567B1EBF"/>
    <w:rsid w:val="56805849"/>
    <w:rsid w:val="568B0FAC"/>
    <w:rsid w:val="568B1BBE"/>
    <w:rsid w:val="568E6209"/>
    <w:rsid w:val="56AF10CB"/>
    <w:rsid w:val="56BF3DA2"/>
    <w:rsid w:val="56C10A03"/>
    <w:rsid w:val="56CD4F87"/>
    <w:rsid w:val="56D873CC"/>
    <w:rsid w:val="56DD0842"/>
    <w:rsid w:val="56E274FC"/>
    <w:rsid w:val="56E700DA"/>
    <w:rsid w:val="56E929A7"/>
    <w:rsid w:val="56F1617B"/>
    <w:rsid w:val="56F47D63"/>
    <w:rsid w:val="56F968BE"/>
    <w:rsid w:val="56FB7D57"/>
    <w:rsid w:val="57023D2C"/>
    <w:rsid w:val="570723FE"/>
    <w:rsid w:val="572332AC"/>
    <w:rsid w:val="572824B0"/>
    <w:rsid w:val="57312173"/>
    <w:rsid w:val="57384F32"/>
    <w:rsid w:val="57502131"/>
    <w:rsid w:val="575E2F66"/>
    <w:rsid w:val="57683C5C"/>
    <w:rsid w:val="576A51B8"/>
    <w:rsid w:val="5771508A"/>
    <w:rsid w:val="57723CE9"/>
    <w:rsid w:val="5774374C"/>
    <w:rsid w:val="577E15AC"/>
    <w:rsid w:val="578248CE"/>
    <w:rsid w:val="578523F5"/>
    <w:rsid w:val="57910904"/>
    <w:rsid w:val="579A45BF"/>
    <w:rsid w:val="57A714CF"/>
    <w:rsid w:val="57AD74D2"/>
    <w:rsid w:val="57B969E5"/>
    <w:rsid w:val="57C05959"/>
    <w:rsid w:val="57C2449E"/>
    <w:rsid w:val="57C25890"/>
    <w:rsid w:val="57CC5188"/>
    <w:rsid w:val="57D9441E"/>
    <w:rsid w:val="57DC745F"/>
    <w:rsid w:val="57DE6B6D"/>
    <w:rsid w:val="57ED7FC8"/>
    <w:rsid w:val="57F163DD"/>
    <w:rsid w:val="57F2688B"/>
    <w:rsid w:val="57F847A9"/>
    <w:rsid w:val="57F9728F"/>
    <w:rsid w:val="58090AF2"/>
    <w:rsid w:val="580D258A"/>
    <w:rsid w:val="581D2619"/>
    <w:rsid w:val="5825764D"/>
    <w:rsid w:val="582C1622"/>
    <w:rsid w:val="582E1203"/>
    <w:rsid w:val="58390E12"/>
    <w:rsid w:val="5849037B"/>
    <w:rsid w:val="584A09C6"/>
    <w:rsid w:val="584B50A1"/>
    <w:rsid w:val="585301C0"/>
    <w:rsid w:val="585623D1"/>
    <w:rsid w:val="585C30EC"/>
    <w:rsid w:val="585E025F"/>
    <w:rsid w:val="58642D4C"/>
    <w:rsid w:val="5865560F"/>
    <w:rsid w:val="587C7F8D"/>
    <w:rsid w:val="58885EA4"/>
    <w:rsid w:val="588C12BF"/>
    <w:rsid w:val="588F40A7"/>
    <w:rsid w:val="589F5FAE"/>
    <w:rsid w:val="58A033D1"/>
    <w:rsid w:val="58A61464"/>
    <w:rsid w:val="58A87DB5"/>
    <w:rsid w:val="58C370EF"/>
    <w:rsid w:val="58CC52DD"/>
    <w:rsid w:val="58CD2F96"/>
    <w:rsid w:val="58D43CD3"/>
    <w:rsid w:val="58D74881"/>
    <w:rsid w:val="58DB1C06"/>
    <w:rsid w:val="58E23051"/>
    <w:rsid w:val="58E5366B"/>
    <w:rsid w:val="58E56358"/>
    <w:rsid w:val="58EB3E72"/>
    <w:rsid w:val="58FD74A5"/>
    <w:rsid w:val="58FE29E8"/>
    <w:rsid w:val="590029F9"/>
    <w:rsid w:val="59031B36"/>
    <w:rsid w:val="59032CDE"/>
    <w:rsid w:val="59056B45"/>
    <w:rsid w:val="59216756"/>
    <w:rsid w:val="594313FB"/>
    <w:rsid w:val="5949402F"/>
    <w:rsid w:val="594D669F"/>
    <w:rsid w:val="594F41F4"/>
    <w:rsid w:val="595529B5"/>
    <w:rsid w:val="596B5651"/>
    <w:rsid w:val="59741D17"/>
    <w:rsid w:val="597434E6"/>
    <w:rsid w:val="597A66A5"/>
    <w:rsid w:val="59936452"/>
    <w:rsid w:val="599E2608"/>
    <w:rsid w:val="59A0270D"/>
    <w:rsid w:val="59A414C7"/>
    <w:rsid w:val="59AD4CC6"/>
    <w:rsid w:val="59AF63E8"/>
    <w:rsid w:val="59B747B0"/>
    <w:rsid w:val="59B935B4"/>
    <w:rsid w:val="59BB0AC6"/>
    <w:rsid w:val="59CB2281"/>
    <w:rsid w:val="59D02384"/>
    <w:rsid w:val="59DE2BB8"/>
    <w:rsid w:val="59DE49FC"/>
    <w:rsid w:val="59E14949"/>
    <w:rsid w:val="59ED37B0"/>
    <w:rsid w:val="59EE367F"/>
    <w:rsid w:val="59F12FE3"/>
    <w:rsid w:val="59FB27AA"/>
    <w:rsid w:val="5A047D73"/>
    <w:rsid w:val="5A1A459C"/>
    <w:rsid w:val="5A1F005A"/>
    <w:rsid w:val="5A32261F"/>
    <w:rsid w:val="5A3D2472"/>
    <w:rsid w:val="5A414CC5"/>
    <w:rsid w:val="5A44027D"/>
    <w:rsid w:val="5A473261"/>
    <w:rsid w:val="5A591A73"/>
    <w:rsid w:val="5A5E77DC"/>
    <w:rsid w:val="5A610BFB"/>
    <w:rsid w:val="5A6640E9"/>
    <w:rsid w:val="5A6C559A"/>
    <w:rsid w:val="5A6F39CD"/>
    <w:rsid w:val="5A7075CC"/>
    <w:rsid w:val="5A8A15ED"/>
    <w:rsid w:val="5A916BC8"/>
    <w:rsid w:val="5A9538E2"/>
    <w:rsid w:val="5A9B43C0"/>
    <w:rsid w:val="5AA37666"/>
    <w:rsid w:val="5AB039F9"/>
    <w:rsid w:val="5AB679FF"/>
    <w:rsid w:val="5ABF5984"/>
    <w:rsid w:val="5AC27426"/>
    <w:rsid w:val="5ACB04D1"/>
    <w:rsid w:val="5ADB66F9"/>
    <w:rsid w:val="5AE02EC6"/>
    <w:rsid w:val="5AE1131E"/>
    <w:rsid w:val="5AE517F0"/>
    <w:rsid w:val="5B0E1A51"/>
    <w:rsid w:val="5B154949"/>
    <w:rsid w:val="5B166AFC"/>
    <w:rsid w:val="5B3507C5"/>
    <w:rsid w:val="5B3F3479"/>
    <w:rsid w:val="5B415C02"/>
    <w:rsid w:val="5B4368C9"/>
    <w:rsid w:val="5B445180"/>
    <w:rsid w:val="5B4D41D1"/>
    <w:rsid w:val="5B625D3F"/>
    <w:rsid w:val="5B653583"/>
    <w:rsid w:val="5B6F0879"/>
    <w:rsid w:val="5B7567BE"/>
    <w:rsid w:val="5B7642E2"/>
    <w:rsid w:val="5B7A7DD0"/>
    <w:rsid w:val="5B921C1D"/>
    <w:rsid w:val="5B932549"/>
    <w:rsid w:val="5B935AB5"/>
    <w:rsid w:val="5BA049A7"/>
    <w:rsid w:val="5BAC6105"/>
    <w:rsid w:val="5BAE1DF1"/>
    <w:rsid w:val="5BC509B8"/>
    <w:rsid w:val="5BC7657C"/>
    <w:rsid w:val="5BC8023B"/>
    <w:rsid w:val="5BDC0332"/>
    <w:rsid w:val="5BE05644"/>
    <w:rsid w:val="5BEC4B97"/>
    <w:rsid w:val="5BFE3BEA"/>
    <w:rsid w:val="5C0F2236"/>
    <w:rsid w:val="5C1556F6"/>
    <w:rsid w:val="5C19476B"/>
    <w:rsid w:val="5C1A5500"/>
    <w:rsid w:val="5C1E08E3"/>
    <w:rsid w:val="5C2210F7"/>
    <w:rsid w:val="5C28486D"/>
    <w:rsid w:val="5C2F2354"/>
    <w:rsid w:val="5C3F0EBE"/>
    <w:rsid w:val="5C493261"/>
    <w:rsid w:val="5C4C0029"/>
    <w:rsid w:val="5C540C20"/>
    <w:rsid w:val="5C63395F"/>
    <w:rsid w:val="5C7040ED"/>
    <w:rsid w:val="5C705650"/>
    <w:rsid w:val="5C7953A1"/>
    <w:rsid w:val="5C7C6BED"/>
    <w:rsid w:val="5C980121"/>
    <w:rsid w:val="5C9C425A"/>
    <w:rsid w:val="5CB07C43"/>
    <w:rsid w:val="5CB272A4"/>
    <w:rsid w:val="5CBC01EA"/>
    <w:rsid w:val="5CD97BA0"/>
    <w:rsid w:val="5CE544FE"/>
    <w:rsid w:val="5CEC0405"/>
    <w:rsid w:val="5CEC4B10"/>
    <w:rsid w:val="5CED4BC4"/>
    <w:rsid w:val="5CF24407"/>
    <w:rsid w:val="5CF514DE"/>
    <w:rsid w:val="5CF722D6"/>
    <w:rsid w:val="5CFB06FE"/>
    <w:rsid w:val="5CFE14B6"/>
    <w:rsid w:val="5D01095C"/>
    <w:rsid w:val="5D01770B"/>
    <w:rsid w:val="5D0D54CC"/>
    <w:rsid w:val="5D1216CC"/>
    <w:rsid w:val="5D1B6AC2"/>
    <w:rsid w:val="5D2E6485"/>
    <w:rsid w:val="5D372B22"/>
    <w:rsid w:val="5D3C6730"/>
    <w:rsid w:val="5D430C3A"/>
    <w:rsid w:val="5D4800F7"/>
    <w:rsid w:val="5D4D4FDF"/>
    <w:rsid w:val="5D5F32C1"/>
    <w:rsid w:val="5D644128"/>
    <w:rsid w:val="5D6527B6"/>
    <w:rsid w:val="5D725133"/>
    <w:rsid w:val="5D7B2D26"/>
    <w:rsid w:val="5D7C5E9C"/>
    <w:rsid w:val="5D7F656E"/>
    <w:rsid w:val="5D9303BA"/>
    <w:rsid w:val="5D9468BF"/>
    <w:rsid w:val="5D946C25"/>
    <w:rsid w:val="5D982C48"/>
    <w:rsid w:val="5DA76894"/>
    <w:rsid w:val="5DAE7B5F"/>
    <w:rsid w:val="5DB17CCE"/>
    <w:rsid w:val="5DB347B4"/>
    <w:rsid w:val="5DB61136"/>
    <w:rsid w:val="5DBB4401"/>
    <w:rsid w:val="5DC7406E"/>
    <w:rsid w:val="5DD67E32"/>
    <w:rsid w:val="5DEB6B6E"/>
    <w:rsid w:val="5DEE2132"/>
    <w:rsid w:val="5DEF5103"/>
    <w:rsid w:val="5DF94120"/>
    <w:rsid w:val="5DFA7198"/>
    <w:rsid w:val="5E0C705C"/>
    <w:rsid w:val="5E0D271C"/>
    <w:rsid w:val="5E145B57"/>
    <w:rsid w:val="5E1D727A"/>
    <w:rsid w:val="5E1E4F2B"/>
    <w:rsid w:val="5E2322A3"/>
    <w:rsid w:val="5E2E0A3E"/>
    <w:rsid w:val="5E2F6CA4"/>
    <w:rsid w:val="5E372AE9"/>
    <w:rsid w:val="5E410513"/>
    <w:rsid w:val="5E4C0165"/>
    <w:rsid w:val="5E4D01B7"/>
    <w:rsid w:val="5E543A5F"/>
    <w:rsid w:val="5E555EF9"/>
    <w:rsid w:val="5E5E33EF"/>
    <w:rsid w:val="5E6A1142"/>
    <w:rsid w:val="5E6F372D"/>
    <w:rsid w:val="5E7156F9"/>
    <w:rsid w:val="5E770F2B"/>
    <w:rsid w:val="5E7D5C44"/>
    <w:rsid w:val="5E7E57B6"/>
    <w:rsid w:val="5E867C15"/>
    <w:rsid w:val="5E884035"/>
    <w:rsid w:val="5E8C2D27"/>
    <w:rsid w:val="5E9920CE"/>
    <w:rsid w:val="5E9A2006"/>
    <w:rsid w:val="5E9C6FA8"/>
    <w:rsid w:val="5EAB2D0F"/>
    <w:rsid w:val="5EB81B21"/>
    <w:rsid w:val="5EBD54E1"/>
    <w:rsid w:val="5EC02201"/>
    <w:rsid w:val="5EC05DA4"/>
    <w:rsid w:val="5EC57012"/>
    <w:rsid w:val="5EE271B3"/>
    <w:rsid w:val="5EE31F4E"/>
    <w:rsid w:val="5EE91298"/>
    <w:rsid w:val="5EEB3B29"/>
    <w:rsid w:val="5EF2799D"/>
    <w:rsid w:val="5EF50FD4"/>
    <w:rsid w:val="5EF55A5C"/>
    <w:rsid w:val="5EF614CD"/>
    <w:rsid w:val="5EFD198E"/>
    <w:rsid w:val="5F050A54"/>
    <w:rsid w:val="5F0A7D16"/>
    <w:rsid w:val="5F0C5BCA"/>
    <w:rsid w:val="5F123FE3"/>
    <w:rsid w:val="5F207AC9"/>
    <w:rsid w:val="5F216BAC"/>
    <w:rsid w:val="5F220CB1"/>
    <w:rsid w:val="5F282486"/>
    <w:rsid w:val="5F294A3A"/>
    <w:rsid w:val="5F3659FF"/>
    <w:rsid w:val="5F3E2A4E"/>
    <w:rsid w:val="5F473A04"/>
    <w:rsid w:val="5F4A306E"/>
    <w:rsid w:val="5F4D0F9B"/>
    <w:rsid w:val="5F510BEA"/>
    <w:rsid w:val="5F512612"/>
    <w:rsid w:val="5F5755BC"/>
    <w:rsid w:val="5F5C7B57"/>
    <w:rsid w:val="5F611984"/>
    <w:rsid w:val="5F652BA8"/>
    <w:rsid w:val="5F6D5082"/>
    <w:rsid w:val="5F761C32"/>
    <w:rsid w:val="5F7932C5"/>
    <w:rsid w:val="5F8B364F"/>
    <w:rsid w:val="5F8D321D"/>
    <w:rsid w:val="5F9612D1"/>
    <w:rsid w:val="5F99147B"/>
    <w:rsid w:val="5F995752"/>
    <w:rsid w:val="5FA34EB7"/>
    <w:rsid w:val="5FAE59A2"/>
    <w:rsid w:val="5FBE6440"/>
    <w:rsid w:val="5FD5093E"/>
    <w:rsid w:val="5FEB686D"/>
    <w:rsid w:val="5FEB6A22"/>
    <w:rsid w:val="5FF31B4A"/>
    <w:rsid w:val="600C7F09"/>
    <w:rsid w:val="600F5237"/>
    <w:rsid w:val="601141AB"/>
    <w:rsid w:val="60167751"/>
    <w:rsid w:val="601B76D7"/>
    <w:rsid w:val="602861F0"/>
    <w:rsid w:val="60482EFA"/>
    <w:rsid w:val="604959D9"/>
    <w:rsid w:val="604A10A6"/>
    <w:rsid w:val="605C098D"/>
    <w:rsid w:val="60690CBC"/>
    <w:rsid w:val="60720664"/>
    <w:rsid w:val="60721C98"/>
    <w:rsid w:val="60784BAA"/>
    <w:rsid w:val="60796FD8"/>
    <w:rsid w:val="607E4C8F"/>
    <w:rsid w:val="608A629B"/>
    <w:rsid w:val="608B60DB"/>
    <w:rsid w:val="609B2ABF"/>
    <w:rsid w:val="609B2BFE"/>
    <w:rsid w:val="60A57474"/>
    <w:rsid w:val="60AF042B"/>
    <w:rsid w:val="60B3432B"/>
    <w:rsid w:val="60B858BB"/>
    <w:rsid w:val="60B902A5"/>
    <w:rsid w:val="60C3453F"/>
    <w:rsid w:val="60C61804"/>
    <w:rsid w:val="60D54F2D"/>
    <w:rsid w:val="60E32F73"/>
    <w:rsid w:val="60E64FB1"/>
    <w:rsid w:val="61004ABD"/>
    <w:rsid w:val="610B40B7"/>
    <w:rsid w:val="61136D2D"/>
    <w:rsid w:val="61140A92"/>
    <w:rsid w:val="61205288"/>
    <w:rsid w:val="61361361"/>
    <w:rsid w:val="613701B5"/>
    <w:rsid w:val="6145416B"/>
    <w:rsid w:val="6151207A"/>
    <w:rsid w:val="61587CA4"/>
    <w:rsid w:val="615D0933"/>
    <w:rsid w:val="615D305F"/>
    <w:rsid w:val="615D3449"/>
    <w:rsid w:val="61603872"/>
    <w:rsid w:val="616902E8"/>
    <w:rsid w:val="616E2A77"/>
    <w:rsid w:val="61725553"/>
    <w:rsid w:val="617554F4"/>
    <w:rsid w:val="617B25C9"/>
    <w:rsid w:val="617E56AC"/>
    <w:rsid w:val="61890594"/>
    <w:rsid w:val="619C5E9F"/>
    <w:rsid w:val="61A22246"/>
    <w:rsid w:val="61A249FD"/>
    <w:rsid w:val="61A43009"/>
    <w:rsid w:val="61A97A66"/>
    <w:rsid w:val="61AB577E"/>
    <w:rsid w:val="61BD42CE"/>
    <w:rsid w:val="61BF6568"/>
    <w:rsid w:val="61C06423"/>
    <w:rsid w:val="61C378B2"/>
    <w:rsid w:val="61C92A5B"/>
    <w:rsid w:val="61CE624E"/>
    <w:rsid w:val="61D21A20"/>
    <w:rsid w:val="61DF7F2E"/>
    <w:rsid w:val="61E20788"/>
    <w:rsid w:val="61E20FD0"/>
    <w:rsid w:val="61E51BE5"/>
    <w:rsid w:val="620501CF"/>
    <w:rsid w:val="62084970"/>
    <w:rsid w:val="62092479"/>
    <w:rsid w:val="620D5F72"/>
    <w:rsid w:val="621B2099"/>
    <w:rsid w:val="621B583E"/>
    <w:rsid w:val="621C5C01"/>
    <w:rsid w:val="62252497"/>
    <w:rsid w:val="62382803"/>
    <w:rsid w:val="624024CD"/>
    <w:rsid w:val="624D6F42"/>
    <w:rsid w:val="625375D5"/>
    <w:rsid w:val="62665FFE"/>
    <w:rsid w:val="6278613E"/>
    <w:rsid w:val="62874561"/>
    <w:rsid w:val="62921A11"/>
    <w:rsid w:val="629E6D3D"/>
    <w:rsid w:val="62AE329B"/>
    <w:rsid w:val="62B64A3F"/>
    <w:rsid w:val="62C118E1"/>
    <w:rsid w:val="62C4343C"/>
    <w:rsid w:val="62C67DDF"/>
    <w:rsid w:val="62C90390"/>
    <w:rsid w:val="62CC0CEF"/>
    <w:rsid w:val="62CC187C"/>
    <w:rsid w:val="62D748CC"/>
    <w:rsid w:val="62DC07C1"/>
    <w:rsid w:val="62EA3270"/>
    <w:rsid w:val="62ED0E29"/>
    <w:rsid w:val="62F619EA"/>
    <w:rsid w:val="63004EF7"/>
    <w:rsid w:val="630320B7"/>
    <w:rsid w:val="63063027"/>
    <w:rsid w:val="631A74EA"/>
    <w:rsid w:val="632519AF"/>
    <w:rsid w:val="63262F6E"/>
    <w:rsid w:val="632D0C7F"/>
    <w:rsid w:val="63477E3F"/>
    <w:rsid w:val="634D0981"/>
    <w:rsid w:val="634E46FB"/>
    <w:rsid w:val="634F0B95"/>
    <w:rsid w:val="635A7E0A"/>
    <w:rsid w:val="636A0D19"/>
    <w:rsid w:val="63787962"/>
    <w:rsid w:val="638127E2"/>
    <w:rsid w:val="63824D50"/>
    <w:rsid w:val="638E457E"/>
    <w:rsid w:val="6396681D"/>
    <w:rsid w:val="639B674C"/>
    <w:rsid w:val="639E485F"/>
    <w:rsid w:val="63AA0A31"/>
    <w:rsid w:val="63B873BE"/>
    <w:rsid w:val="63BB3DA2"/>
    <w:rsid w:val="63BC6CC1"/>
    <w:rsid w:val="63BE7BDD"/>
    <w:rsid w:val="63C5025D"/>
    <w:rsid w:val="63D1197B"/>
    <w:rsid w:val="63DF6396"/>
    <w:rsid w:val="63E113BA"/>
    <w:rsid w:val="63F92368"/>
    <w:rsid w:val="63FD00B6"/>
    <w:rsid w:val="63FD116B"/>
    <w:rsid w:val="640A6474"/>
    <w:rsid w:val="640E2073"/>
    <w:rsid w:val="642D3496"/>
    <w:rsid w:val="64310AA8"/>
    <w:rsid w:val="643E4AC1"/>
    <w:rsid w:val="64420D46"/>
    <w:rsid w:val="644F7035"/>
    <w:rsid w:val="64581482"/>
    <w:rsid w:val="645C498B"/>
    <w:rsid w:val="64601BCA"/>
    <w:rsid w:val="646A7EDD"/>
    <w:rsid w:val="64725309"/>
    <w:rsid w:val="647A160C"/>
    <w:rsid w:val="648406B1"/>
    <w:rsid w:val="64850FC5"/>
    <w:rsid w:val="648D6F6A"/>
    <w:rsid w:val="64945FB6"/>
    <w:rsid w:val="649540DC"/>
    <w:rsid w:val="649B32D7"/>
    <w:rsid w:val="64A54B11"/>
    <w:rsid w:val="64AB5169"/>
    <w:rsid w:val="64B35B76"/>
    <w:rsid w:val="64C7747A"/>
    <w:rsid w:val="64CC55B5"/>
    <w:rsid w:val="64D06456"/>
    <w:rsid w:val="64DB2B76"/>
    <w:rsid w:val="64DB70AA"/>
    <w:rsid w:val="64E7459D"/>
    <w:rsid w:val="64F3074B"/>
    <w:rsid w:val="64F95EEA"/>
    <w:rsid w:val="64FC0054"/>
    <w:rsid w:val="64FF43C3"/>
    <w:rsid w:val="65055B18"/>
    <w:rsid w:val="650D4A26"/>
    <w:rsid w:val="651631C1"/>
    <w:rsid w:val="652B0F7C"/>
    <w:rsid w:val="65413C40"/>
    <w:rsid w:val="65542C24"/>
    <w:rsid w:val="65646807"/>
    <w:rsid w:val="656A3AA0"/>
    <w:rsid w:val="657311C9"/>
    <w:rsid w:val="657C55EC"/>
    <w:rsid w:val="657E32C4"/>
    <w:rsid w:val="65820B3F"/>
    <w:rsid w:val="65821695"/>
    <w:rsid w:val="6584076D"/>
    <w:rsid w:val="65A01E32"/>
    <w:rsid w:val="65A05550"/>
    <w:rsid w:val="65AC032F"/>
    <w:rsid w:val="65B0135A"/>
    <w:rsid w:val="65B1615D"/>
    <w:rsid w:val="65B72F3D"/>
    <w:rsid w:val="65C16CB9"/>
    <w:rsid w:val="65C20B96"/>
    <w:rsid w:val="65D46F24"/>
    <w:rsid w:val="65DC01A0"/>
    <w:rsid w:val="65E855AB"/>
    <w:rsid w:val="65EA6448"/>
    <w:rsid w:val="65F16D88"/>
    <w:rsid w:val="65F454F6"/>
    <w:rsid w:val="65F72E23"/>
    <w:rsid w:val="66003152"/>
    <w:rsid w:val="66006D33"/>
    <w:rsid w:val="660D2876"/>
    <w:rsid w:val="66115C98"/>
    <w:rsid w:val="661D71F3"/>
    <w:rsid w:val="66213827"/>
    <w:rsid w:val="662C309A"/>
    <w:rsid w:val="662C400C"/>
    <w:rsid w:val="6634158B"/>
    <w:rsid w:val="66357330"/>
    <w:rsid w:val="663D15A4"/>
    <w:rsid w:val="664B5F05"/>
    <w:rsid w:val="665630B1"/>
    <w:rsid w:val="66615669"/>
    <w:rsid w:val="66623A55"/>
    <w:rsid w:val="666368FF"/>
    <w:rsid w:val="667714CB"/>
    <w:rsid w:val="66AA45F3"/>
    <w:rsid w:val="66AA4B3C"/>
    <w:rsid w:val="66AE05B8"/>
    <w:rsid w:val="66B95382"/>
    <w:rsid w:val="66BB7DE3"/>
    <w:rsid w:val="66BC654F"/>
    <w:rsid w:val="66BE3833"/>
    <w:rsid w:val="66BF5138"/>
    <w:rsid w:val="66C714A0"/>
    <w:rsid w:val="66C83D67"/>
    <w:rsid w:val="66DC6966"/>
    <w:rsid w:val="66F06968"/>
    <w:rsid w:val="66F84552"/>
    <w:rsid w:val="67034C47"/>
    <w:rsid w:val="672D0926"/>
    <w:rsid w:val="6735562E"/>
    <w:rsid w:val="67377E83"/>
    <w:rsid w:val="673D2F41"/>
    <w:rsid w:val="6740369C"/>
    <w:rsid w:val="674C5413"/>
    <w:rsid w:val="675C6C31"/>
    <w:rsid w:val="675E774A"/>
    <w:rsid w:val="676C31DE"/>
    <w:rsid w:val="67705278"/>
    <w:rsid w:val="67754F98"/>
    <w:rsid w:val="67811ED5"/>
    <w:rsid w:val="678614DF"/>
    <w:rsid w:val="67895196"/>
    <w:rsid w:val="678A085E"/>
    <w:rsid w:val="678E7244"/>
    <w:rsid w:val="679307A4"/>
    <w:rsid w:val="679A030F"/>
    <w:rsid w:val="679A4AA9"/>
    <w:rsid w:val="67A265D2"/>
    <w:rsid w:val="67B47A8D"/>
    <w:rsid w:val="67BE411B"/>
    <w:rsid w:val="67C2640D"/>
    <w:rsid w:val="67D05C3D"/>
    <w:rsid w:val="67DC7757"/>
    <w:rsid w:val="67E723DF"/>
    <w:rsid w:val="680775C3"/>
    <w:rsid w:val="681452F9"/>
    <w:rsid w:val="682158FB"/>
    <w:rsid w:val="682C134B"/>
    <w:rsid w:val="68355EAD"/>
    <w:rsid w:val="684E09CA"/>
    <w:rsid w:val="684E3A9C"/>
    <w:rsid w:val="68621E55"/>
    <w:rsid w:val="686B19FA"/>
    <w:rsid w:val="686C32C7"/>
    <w:rsid w:val="686D18F4"/>
    <w:rsid w:val="686F7BFC"/>
    <w:rsid w:val="68727C61"/>
    <w:rsid w:val="68782064"/>
    <w:rsid w:val="687A002D"/>
    <w:rsid w:val="68825691"/>
    <w:rsid w:val="689A312B"/>
    <w:rsid w:val="689F17B7"/>
    <w:rsid w:val="68A259A7"/>
    <w:rsid w:val="68A51722"/>
    <w:rsid w:val="68B27A3E"/>
    <w:rsid w:val="68BE1761"/>
    <w:rsid w:val="68CB1956"/>
    <w:rsid w:val="68EA04F8"/>
    <w:rsid w:val="68EE7418"/>
    <w:rsid w:val="690D74DA"/>
    <w:rsid w:val="690F592A"/>
    <w:rsid w:val="6913274D"/>
    <w:rsid w:val="69250329"/>
    <w:rsid w:val="692A7F3B"/>
    <w:rsid w:val="693567B4"/>
    <w:rsid w:val="693E2CA0"/>
    <w:rsid w:val="694651C0"/>
    <w:rsid w:val="694B5F41"/>
    <w:rsid w:val="6960498A"/>
    <w:rsid w:val="696609FE"/>
    <w:rsid w:val="69674AED"/>
    <w:rsid w:val="696962EF"/>
    <w:rsid w:val="69882D27"/>
    <w:rsid w:val="698867A6"/>
    <w:rsid w:val="69926167"/>
    <w:rsid w:val="699720D8"/>
    <w:rsid w:val="69993CB2"/>
    <w:rsid w:val="699B3C7B"/>
    <w:rsid w:val="699F221A"/>
    <w:rsid w:val="69A90ADE"/>
    <w:rsid w:val="69AC4B26"/>
    <w:rsid w:val="69B36094"/>
    <w:rsid w:val="69B53C31"/>
    <w:rsid w:val="69BA7387"/>
    <w:rsid w:val="69BD2603"/>
    <w:rsid w:val="69CA638E"/>
    <w:rsid w:val="69DC1438"/>
    <w:rsid w:val="69E5509B"/>
    <w:rsid w:val="69F162BE"/>
    <w:rsid w:val="69F342C5"/>
    <w:rsid w:val="69F439DE"/>
    <w:rsid w:val="6A111A9E"/>
    <w:rsid w:val="6A1368B4"/>
    <w:rsid w:val="6A1B132A"/>
    <w:rsid w:val="6A1B72AA"/>
    <w:rsid w:val="6A1E4DB9"/>
    <w:rsid w:val="6A277007"/>
    <w:rsid w:val="6A2C0BAA"/>
    <w:rsid w:val="6A35624C"/>
    <w:rsid w:val="6A36768F"/>
    <w:rsid w:val="6A4C7706"/>
    <w:rsid w:val="6A4D277D"/>
    <w:rsid w:val="6A4E75E1"/>
    <w:rsid w:val="6A526445"/>
    <w:rsid w:val="6A5556A4"/>
    <w:rsid w:val="6A586EA6"/>
    <w:rsid w:val="6A605DDA"/>
    <w:rsid w:val="6A6B298C"/>
    <w:rsid w:val="6A6C35D2"/>
    <w:rsid w:val="6A706DFD"/>
    <w:rsid w:val="6A727FB2"/>
    <w:rsid w:val="6A807B60"/>
    <w:rsid w:val="6A837D1F"/>
    <w:rsid w:val="6A843A9F"/>
    <w:rsid w:val="6A8F7452"/>
    <w:rsid w:val="6A944AB4"/>
    <w:rsid w:val="6AA87ECA"/>
    <w:rsid w:val="6AC97BA3"/>
    <w:rsid w:val="6ACE33C6"/>
    <w:rsid w:val="6AE52B64"/>
    <w:rsid w:val="6AE60600"/>
    <w:rsid w:val="6AEC20D6"/>
    <w:rsid w:val="6AF16405"/>
    <w:rsid w:val="6B032E43"/>
    <w:rsid w:val="6B0C5BA0"/>
    <w:rsid w:val="6B123DBE"/>
    <w:rsid w:val="6B1627A9"/>
    <w:rsid w:val="6B1B4ADD"/>
    <w:rsid w:val="6B1C3EC9"/>
    <w:rsid w:val="6B22561B"/>
    <w:rsid w:val="6B2F268C"/>
    <w:rsid w:val="6B315AAF"/>
    <w:rsid w:val="6B3F4AA7"/>
    <w:rsid w:val="6B6E49C8"/>
    <w:rsid w:val="6B847B8A"/>
    <w:rsid w:val="6B881F4D"/>
    <w:rsid w:val="6B8B156F"/>
    <w:rsid w:val="6B904BA8"/>
    <w:rsid w:val="6B9476C7"/>
    <w:rsid w:val="6B9A6EAE"/>
    <w:rsid w:val="6BB721A3"/>
    <w:rsid w:val="6BD0153C"/>
    <w:rsid w:val="6BD63B45"/>
    <w:rsid w:val="6BD6780F"/>
    <w:rsid w:val="6BE043B6"/>
    <w:rsid w:val="6BE475D6"/>
    <w:rsid w:val="6BEC3A64"/>
    <w:rsid w:val="6BEF3535"/>
    <w:rsid w:val="6BF72EE6"/>
    <w:rsid w:val="6BF82E2B"/>
    <w:rsid w:val="6BFA52D4"/>
    <w:rsid w:val="6C0F17D1"/>
    <w:rsid w:val="6C155B13"/>
    <w:rsid w:val="6C1C3DAB"/>
    <w:rsid w:val="6C1F1724"/>
    <w:rsid w:val="6C215061"/>
    <w:rsid w:val="6C275E16"/>
    <w:rsid w:val="6C3504E0"/>
    <w:rsid w:val="6C3A75B7"/>
    <w:rsid w:val="6C3C4B97"/>
    <w:rsid w:val="6C4378AB"/>
    <w:rsid w:val="6C6146F0"/>
    <w:rsid w:val="6C66643F"/>
    <w:rsid w:val="6C681393"/>
    <w:rsid w:val="6C7D1B83"/>
    <w:rsid w:val="6C822766"/>
    <w:rsid w:val="6C8B44D8"/>
    <w:rsid w:val="6C9551C8"/>
    <w:rsid w:val="6CA34B51"/>
    <w:rsid w:val="6CB02AC4"/>
    <w:rsid w:val="6CB06BD8"/>
    <w:rsid w:val="6CC1003C"/>
    <w:rsid w:val="6CC3672F"/>
    <w:rsid w:val="6CC4690F"/>
    <w:rsid w:val="6CC66C12"/>
    <w:rsid w:val="6CC70534"/>
    <w:rsid w:val="6CCD75A4"/>
    <w:rsid w:val="6CCE7793"/>
    <w:rsid w:val="6CD05BB0"/>
    <w:rsid w:val="6CE44996"/>
    <w:rsid w:val="6CE54F3F"/>
    <w:rsid w:val="6CFD30A2"/>
    <w:rsid w:val="6CFF02E4"/>
    <w:rsid w:val="6D121104"/>
    <w:rsid w:val="6D164000"/>
    <w:rsid w:val="6D214766"/>
    <w:rsid w:val="6D2C1EED"/>
    <w:rsid w:val="6D2E5BE8"/>
    <w:rsid w:val="6D351CC1"/>
    <w:rsid w:val="6D355423"/>
    <w:rsid w:val="6D3C54DB"/>
    <w:rsid w:val="6D4C3E84"/>
    <w:rsid w:val="6D5578B4"/>
    <w:rsid w:val="6D5811B7"/>
    <w:rsid w:val="6D5E1000"/>
    <w:rsid w:val="6D5F2BC1"/>
    <w:rsid w:val="6D63064A"/>
    <w:rsid w:val="6D637913"/>
    <w:rsid w:val="6D66370E"/>
    <w:rsid w:val="6D6B77C5"/>
    <w:rsid w:val="6D6E47FD"/>
    <w:rsid w:val="6D736519"/>
    <w:rsid w:val="6D7E1D62"/>
    <w:rsid w:val="6D9632E7"/>
    <w:rsid w:val="6DBB2348"/>
    <w:rsid w:val="6DC200A0"/>
    <w:rsid w:val="6DD41270"/>
    <w:rsid w:val="6DD9160C"/>
    <w:rsid w:val="6DD93C25"/>
    <w:rsid w:val="6DDC71D6"/>
    <w:rsid w:val="6DED5D72"/>
    <w:rsid w:val="6DED65AC"/>
    <w:rsid w:val="6DEF04EF"/>
    <w:rsid w:val="6DF25A8E"/>
    <w:rsid w:val="6DFD1AA7"/>
    <w:rsid w:val="6E06396A"/>
    <w:rsid w:val="6E0A4BF1"/>
    <w:rsid w:val="6E0D61DC"/>
    <w:rsid w:val="6E165481"/>
    <w:rsid w:val="6E1867CA"/>
    <w:rsid w:val="6E192139"/>
    <w:rsid w:val="6E1D35E6"/>
    <w:rsid w:val="6E1E1E8D"/>
    <w:rsid w:val="6E22382B"/>
    <w:rsid w:val="6E232273"/>
    <w:rsid w:val="6E297029"/>
    <w:rsid w:val="6E2F0271"/>
    <w:rsid w:val="6E4F2F3F"/>
    <w:rsid w:val="6E542161"/>
    <w:rsid w:val="6E58196B"/>
    <w:rsid w:val="6E6201ED"/>
    <w:rsid w:val="6E630B36"/>
    <w:rsid w:val="6E6978C4"/>
    <w:rsid w:val="6E703DB9"/>
    <w:rsid w:val="6E73645D"/>
    <w:rsid w:val="6E7C2BE3"/>
    <w:rsid w:val="6E7C56EB"/>
    <w:rsid w:val="6E8A4E74"/>
    <w:rsid w:val="6E8A564E"/>
    <w:rsid w:val="6E97515E"/>
    <w:rsid w:val="6E9E3B8A"/>
    <w:rsid w:val="6EA16C68"/>
    <w:rsid w:val="6EAB0E95"/>
    <w:rsid w:val="6EB048F2"/>
    <w:rsid w:val="6EB45C22"/>
    <w:rsid w:val="6EC40181"/>
    <w:rsid w:val="6EC85EBD"/>
    <w:rsid w:val="6ECB7332"/>
    <w:rsid w:val="6ECD04A7"/>
    <w:rsid w:val="6ED9112D"/>
    <w:rsid w:val="6EE200F5"/>
    <w:rsid w:val="6EE4126F"/>
    <w:rsid w:val="6EE87571"/>
    <w:rsid w:val="6EEC4AF9"/>
    <w:rsid w:val="6EFB700E"/>
    <w:rsid w:val="6EFE7C56"/>
    <w:rsid w:val="6F046D74"/>
    <w:rsid w:val="6F064554"/>
    <w:rsid w:val="6F094612"/>
    <w:rsid w:val="6F21539B"/>
    <w:rsid w:val="6F220356"/>
    <w:rsid w:val="6F287209"/>
    <w:rsid w:val="6F2C7C3D"/>
    <w:rsid w:val="6F3C1D7F"/>
    <w:rsid w:val="6F3F7004"/>
    <w:rsid w:val="6F4268A1"/>
    <w:rsid w:val="6F495ADB"/>
    <w:rsid w:val="6F50385D"/>
    <w:rsid w:val="6F531633"/>
    <w:rsid w:val="6F5E428B"/>
    <w:rsid w:val="6F64467A"/>
    <w:rsid w:val="6F665BB5"/>
    <w:rsid w:val="6F6A1FE6"/>
    <w:rsid w:val="6F6B393A"/>
    <w:rsid w:val="6F757C81"/>
    <w:rsid w:val="6F790816"/>
    <w:rsid w:val="6F7E799C"/>
    <w:rsid w:val="6FA00BBA"/>
    <w:rsid w:val="6FA172EA"/>
    <w:rsid w:val="6FA3785A"/>
    <w:rsid w:val="6FB908A6"/>
    <w:rsid w:val="6FC40B0E"/>
    <w:rsid w:val="6FCB689E"/>
    <w:rsid w:val="6FCE1FC1"/>
    <w:rsid w:val="6FD02518"/>
    <w:rsid w:val="6FE54C40"/>
    <w:rsid w:val="6FE8696D"/>
    <w:rsid w:val="6FEA60C4"/>
    <w:rsid w:val="6FEB42B7"/>
    <w:rsid w:val="6FF02CC3"/>
    <w:rsid w:val="70097A35"/>
    <w:rsid w:val="701110D2"/>
    <w:rsid w:val="70123790"/>
    <w:rsid w:val="70136325"/>
    <w:rsid w:val="701877E1"/>
    <w:rsid w:val="701900E6"/>
    <w:rsid w:val="70191BB1"/>
    <w:rsid w:val="7019465C"/>
    <w:rsid w:val="702A10FC"/>
    <w:rsid w:val="702C134F"/>
    <w:rsid w:val="702E62E0"/>
    <w:rsid w:val="705E66D9"/>
    <w:rsid w:val="706452DB"/>
    <w:rsid w:val="706538CB"/>
    <w:rsid w:val="706972A9"/>
    <w:rsid w:val="706B4BD8"/>
    <w:rsid w:val="7074433D"/>
    <w:rsid w:val="707F652B"/>
    <w:rsid w:val="708C797F"/>
    <w:rsid w:val="709D0E15"/>
    <w:rsid w:val="70A301C0"/>
    <w:rsid w:val="70AC27E2"/>
    <w:rsid w:val="70B34FF3"/>
    <w:rsid w:val="70B94B3E"/>
    <w:rsid w:val="70BC5FED"/>
    <w:rsid w:val="70C92A65"/>
    <w:rsid w:val="70D44E98"/>
    <w:rsid w:val="70DC7ACF"/>
    <w:rsid w:val="70DF469A"/>
    <w:rsid w:val="70EA27B8"/>
    <w:rsid w:val="70EB2810"/>
    <w:rsid w:val="70EC059D"/>
    <w:rsid w:val="711A1B90"/>
    <w:rsid w:val="711E5FCC"/>
    <w:rsid w:val="71224CAE"/>
    <w:rsid w:val="713F7DA8"/>
    <w:rsid w:val="714E33E3"/>
    <w:rsid w:val="714E4D66"/>
    <w:rsid w:val="71502205"/>
    <w:rsid w:val="715213CA"/>
    <w:rsid w:val="71571882"/>
    <w:rsid w:val="71582A70"/>
    <w:rsid w:val="716174A0"/>
    <w:rsid w:val="716567A7"/>
    <w:rsid w:val="71707E5B"/>
    <w:rsid w:val="71720075"/>
    <w:rsid w:val="717B2AE2"/>
    <w:rsid w:val="718C5B54"/>
    <w:rsid w:val="71953675"/>
    <w:rsid w:val="719D6584"/>
    <w:rsid w:val="71A2198A"/>
    <w:rsid w:val="71A72DDD"/>
    <w:rsid w:val="71BF04C5"/>
    <w:rsid w:val="71D81805"/>
    <w:rsid w:val="71DA77AF"/>
    <w:rsid w:val="71EC42BA"/>
    <w:rsid w:val="71F87ECA"/>
    <w:rsid w:val="72052226"/>
    <w:rsid w:val="72154FA8"/>
    <w:rsid w:val="721628F6"/>
    <w:rsid w:val="7226125C"/>
    <w:rsid w:val="724A24B1"/>
    <w:rsid w:val="724E214D"/>
    <w:rsid w:val="72563A5D"/>
    <w:rsid w:val="72636B06"/>
    <w:rsid w:val="7264583D"/>
    <w:rsid w:val="727803AF"/>
    <w:rsid w:val="72823333"/>
    <w:rsid w:val="728305C4"/>
    <w:rsid w:val="7284592B"/>
    <w:rsid w:val="728C0229"/>
    <w:rsid w:val="729A397C"/>
    <w:rsid w:val="72A4060F"/>
    <w:rsid w:val="72B0371E"/>
    <w:rsid w:val="72B612C7"/>
    <w:rsid w:val="72B63631"/>
    <w:rsid w:val="72B64E64"/>
    <w:rsid w:val="72CA060E"/>
    <w:rsid w:val="72D40442"/>
    <w:rsid w:val="72DC5C8E"/>
    <w:rsid w:val="72E4249E"/>
    <w:rsid w:val="72E469A8"/>
    <w:rsid w:val="72EF575A"/>
    <w:rsid w:val="72F27CF9"/>
    <w:rsid w:val="72FB7BD9"/>
    <w:rsid w:val="730A7FB3"/>
    <w:rsid w:val="730B7934"/>
    <w:rsid w:val="73122806"/>
    <w:rsid w:val="73123A32"/>
    <w:rsid w:val="731748F8"/>
    <w:rsid w:val="73177C41"/>
    <w:rsid w:val="731D36F6"/>
    <w:rsid w:val="73225BBB"/>
    <w:rsid w:val="73390822"/>
    <w:rsid w:val="733A6BAC"/>
    <w:rsid w:val="733E4E11"/>
    <w:rsid w:val="735321C7"/>
    <w:rsid w:val="73555B0C"/>
    <w:rsid w:val="735B4BDB"/>
    <w:rsid w:val="735F0CCA"/>
    <w:rsid w:val="736306A4"/>
    <w:rsid w:val="737B0C22"/>
    <w:rsid w:val="7382596C"/>
    <w:rsid w:val="73825A1E"/>
    <w:rsid w:val="73850583"/>
    <w:rsid w:val="738C5E7C"/>
    <w:rsid w:val="73944A31"/>
    <w:rsid w:val="739A125C"/>
    <w:rsid w:val="739D318E"/>
    <w:rsid w:val="73A94EB6"/>
    <w:rsid w:val="73BE113C"/>
    <w:rsid w:val="73BE373F"/>
    <w:rsid w:val="73BE6CC6"/>
    <w:rsid w:val="73BF31EE"/>
    <w:rsid w:val="73CC2136"/>
    <w:rsid w:val="73D679C6"/>
    <w:rsid w:val="73EA5BB1"/>
    <w:rsid w:val="73EE5384"/>
    <w:rsid w:val="73F57F43"/>
    <w:rsid w:val="7401390F"/>
    <w:rsid w:val="74075226"/>
    <w:rsid w:val="740B06E4"/>
    <w:rsid w:val="74183FBF"/>
    <w:rsid w:val="741D416E"/>
    <w:rsid w:val="741D4950"/>
    <w:rsid w:val="742911FB"/>
    <w:rsid w:val="742A69D9"/>
    <w:rsid w:val="742D5653"/>
    <w:rsid w:val="743A5794"/>
    <w:rsid w:val="74420201"/>
    <w:rsid w:val="74440B3A"/>
    <w:rsid w:val="744C6780"/>
    <w:rsid w:val="74581A9F"/>
    <w:rsid w:val="746309E1"/>
    <w:rsid w:val="74844FAE"/>
    <w:rsid w:val="748A4120"/>
    <w:rsid w:val="74B2357E"/>
    <w:rsid w:val="74BA672F"/>
    <w:rsid w:val="74BE18CA"/>
    <w:rsid w:val="74C17A95"/>
    <w:rsid w:val="74D04498"/>
    <w:rsid w:val="74D60FC8"/>
    <w:rsid w:val="74F90679"/>
    <w:rsid w:val="7510465D"/>
    <w:rsid w:val="75153331"/>
    <w:rsid w:val="751675C6"/>
    <w:rsid w:val="751E234A"/>
    <w:rsid w:val="751F0A8D"/>
    <w:rsid w:val="75235B09"/>
    <w:rsid w:val="75282985"/>
    <w:rsid w:val="75283185"/>
    <w:rsid w:val="75291B23"/>
    <w:rsid w:val="752954AE"/>
    <w:rsid w:val="752B29FF"/>
    <w:rsid w:val="752C07A3"/>
    <w:rsid w:val="752D4A09"/>
    <w:rsid w:val="7541469F"/>
    <w:rsid w:val="754428C8"/>
    <w:rsid w:val="754B3C0C"/>
    <w:rsid w:val="75513061"/>
    <w:rsid w:val="755D74C1"/>
    <w:rsid w:val="75770F5F"/>
    <w:rsid w:val="758227CF"/>
    <w:rsid w:val="75832BCA"/>
    <w:rsid w:val="75844813"/>
    <w:rsid w:val="75893C86"/>
    <w:rsid w:val="758F2244"/>
    <w:rsid w:val="759A34B1"/>
    <w:rsid w:val="759C3AA9"/>
    <w:rsid w:val="75A94884"/>
    <w:rsid w:val="75AF669D"/>
    <w:rsid w:val="75B556D4"/>
    <w:rsid w:val="75C230C5"/>
    <w:rsid w:val="75D43CC1"/>
    <w:rsid w:val="75D7582E"/>
    <w:rsid w:val="75D963AF"/>
    <w:rsid w:val="75DF0059"/>
    <w:rsid w:val="75E16E65"/>
    <w:rsid w:val="75ED524B"/>
    <w:rsid w:val="75EE6DCC"/>
    <w:rsid w:val="75EF1555"/>
    <w:rsid w:val="75F37BF3"/>
    <w:rsid w:val="75F47ED1"/>
    <w:rsid w:val="75F63E19"/>
    <w:rsid w:val="75FD24A8"/>
    <w:rsid w:val="760B1DDD"/>
    <w:rsid w:val="760F20FF"/>
    <w:rsid w:val="7617254D"/>
    <w:rsid w:val="76175E3B"/>
    <w:rsid w:val="761B769E"/>
    <w:rsid w:val="76237331"/>
    <w:rsid w:val="76307C60"/>
    <w:rsid w:val="7631445C"/>
    <w:rsid w:val="763C129F"/>
    <w:rsid w:val="76435CC1"/>
    <w:rsid w:val="76440CAA"/>
    <w:rsid w:val="76485B5D"/>
    <w:rsid w:val="764B7977"/>
    <w:rsid w:val="76513B47"/>
    <w:rsid w:val="765B52C1"/>
    <w:rsid w:val="766B419D"/>
    <w:rsid w:val="766E72A6"/>
    <w:rsid w:val="76780212"/>
    <w:rsid w:val="7679531B"/>
    <w:rsid w:val="767D5F57"/>
    <w:rsid w:val="76847102"/>
    <w:rsid w:val="768E7666"/>
    <w:rsid w:val="769A4483"/>
    <w:rsid w:val="76AE5D79"/>
    <w:rsid w:val="76B2134D"/>
    <w:rsid w:val="76B244FA"/>
    <w:rsid w:val="76B70B6A"/>
    <w:rsid w:val="76BC008C"/>
    <w:rsid w:val="76C41697"/>
    <w:rsid w:val="76CB16C1"/>
    <w:rsid w:val="76D43443"/>
    <w:rsid w:val="76D6321E"/>
    <w:rsid w:val="76D91D3D"/>
    <w:rsid w:val="76E64C85"/>
    <w:rsid w:val="76F23F01"/>
    <w:rsid w:val="76F77E01"/>
    <w:rsid w:val="76FE1DB2"/>
    <w:rsid w:val="76FE6C6B"/>
    <w:rsid w:val="77064B9B"/>
    <w:rsid w:val="770A34B8"/>
    <w:rsid w:val="770F6BA0"/>
    <w:rsid w:val="77206E10"/>
    <w:rsid w:val="77257ADF"/>
    <w:rsid w:val="7738034A"/>
    <w:rsid w:val="774159B9"/>
    <w:rsid w:val="7746259A"/>
    <w:rsid w:val="7758481F"/>
    <w:rsid w:val="77596911"/>
    <w:rsid w:val="775C2FA4"/>
    <w:rsid w:val="776A25EA"/>
    <w:rsid w:val="77716B79"/>
    <w:rsid w:val="7782380D"/>
    <w:rsid w:val="778267B4"/>
    <w:rsid w:val="77880D1C"/>
    <w:rsid w:val="779B1AC5"/>
    <w:rsid w:val="779D0E2B"/>
    <w:rsid w:val="779D33DE"/>
    <w:rsid w:val="77A649CC"/>
    <w:rsid w:val="77AB296E"/>
    <w:rsid w:val="77AF689F"/>
    <w:rsid w:val="77C24493"/>
    <w:rsid w:val="77C667FA"/>
    <w:rsid w:val="77E8657E"/>
    <w:rsid w:val="77EC2897"/>
    <w:rsid w:val="77EC61FD"/>
    <w:rsid w:val="77F36806"/>
    <w:rsid w:val="77F93B4C"/>
    <w:rsid w:val="77FB755F"/>
    <w:rsid w:val="77FD7E5B"/>
    <w:rsid w:val="78007DD2"/>
    <w:rsid w:val="78017245"/>
    <w:rsid w:val="780711CF"/>
    <w:rsid w:val="7816048A"/>
    <w:rsid w:val="781D6253"/>
    <w:rsid w:val="781F4150"/>
    <w:rsid w:val="78243C5C"/>
    <w:rsid w:val="782D4D7A"/>
    <w:rsid w:val="782E0619"/>
    <w:rsid w:val="78341D15"/>
    <w:rsid w:val="783600D3"/>
    <w:rsid w:val="783E732E"/>
    <w:rsid w:val="785B5C54"/>
    <w:rsid w:val="78607115"/>
    <w:rsid w:val="7862169D"/>
    <w:rsid w:val="78665EC5"/>
    <w:rsid w:val="78667A5E"/>
    <w:rsid w:val="786F1193"/>
    <w:rsid w:val="78894490"/>
    <w:rsid w:val="789427AB"/>
    <w:rsid w:val="78A2613D"/>
    <w:rsid w:val="78A86312"/>
    <w:rsid w:val="78AC7BCA"/>
    <w:rsid w:val="78B46940"/>
    <w:rsid w:val="78B65B43"/>
    <w:rsid w:val="78C25358"/>
    <w:rsid w:val="78C7544A"/>
    <w:rsid w:val="78CF30ED"/>
    <w:rsid w:val="78D0766D"/>
    <w:rsid w:val="78D307AD"/>
    <w:rsid w:val="78D65C6E"/>
    <w:rsid w:val="78D96C93"/>
    <w:rsid w:val="78DE17FF"/>
    <w:rsid w:val="78DF32FC"/>
    <w:rsid w:val="78E10E4C"/>
    <w:rsid w:val="78E475E3"/>
    <w:rsid w:val="78E82857"/>
    <w:rsid w:val="78EC0811"/>
    <w:rsid w:val="78ED022E"/>
    <w:rsid w:val="78F73DDA"/>
    <w:rsid w:val="78F8038E"/>
    <w:rsid w:val="78F904C1"/>
    <w:rsid w:val="79014CF7"/>
    <w:rsid w:val="79156572"/>
    <w:rsid w:val="791C7A87"/>
    <w:rsid w:val="791F23FF"/>
    <w:rsid w:val="791F509F"/>
    <w:rsid w:val="793A5986"/>
    <w:rsid w:val="794A2DB6"/>
    <w:rsid w:val="794F3D94"/>
    <w:rsid w:val="79500EFE"/>
    <w:rsid w:val="79582347"/>
    <w:rsid w:val="795C5CE4"/>
    <w:rsid w:val="795F678D"/>
    <w:rsid w:val="79695CBD"/>
    <w:rsid w:val="796B3F9B"/>
    <w:rsid w:val="796D254C"/>
    <w:rsid w:val="796E3B22"/>
    <w:rsid w:val="797411B9"/>
    <w:rsid w:val="797722DC"/>
    <w:rsid w:val="797F4635"/>
    <w:rsid w:val="79814B20"/>
    <w:rsid w:val="79956EDD"/>
    <w:rsid w:val="799A60BD"/>
    <w:rsid w:val="799E0359"/>
    <w:rsid w:val="79A00238"/>
    <w:rsid w:val="79A47E57"/>
    <w:rsid w:val="79AE2CC1"/>
    <w:rsid w:val="79B262D5"/>
    <w:rsid w:val="79B56C9E"/>
    <w:rsid w:val="79B81320"/>
    <w:rsid w:val="79B835C4"/>
    <w:rsid w:val="79C07901"/>
    <w:rsid w:val="79C36C17"/>
    <w:rsid w:val="79C744E8"/>
    <w:rsid w:val="79D9428A"/>
    <w:rsid w:val="79DE10B9"/>
    <w:rsid w:val="79E078FE"/>
    <w:rsid w:val="79F45E85"/>
    <w:rsid w:val="79F76D90"/>
    <w:rsid w:val="7A09415C"/>
    <w:rsid w:val="7A097A9F"/>
    <w:rsid w:val="7A115D4E"/>
    <w:rsid w:val="7A1215DC"/>
    <w:rsid w:val="7A144657"/>
    <w:rsid w:val="7A197BB7"/>
    <w:rsid w:val="7A37681E"/>
    <w:rsid w:val="7A3B3833"/>
    <w:rsid w:val="7A3E1C24"/>
    <w:rsid w:val="7A4835E8"/>
    <w:rsid w:val="7A4A1DF7"/>
    <w:rsid w:val="7A4A2BD3"/>
    <w:rsid w:val="7A590517"/>
    <w:rsid w:val="7A5D6653"/>
    <w:rsid w:val="7A7435CB"/>
    <w:rsid w:val="7A77304A"/>
    <w:rsid w:val="7A7B2154"/>
    <w:rsid w:val="7A8164E5"/>
    <w:rsid w:val="7A840A2F"/>
    <w:rsid w:val="7A8E2528"/>
    <w:rsid w:val="7A9224FE"/>
    <w:rsid w:val="7AB52AA8"/>
    <w:rsid w:val="7ABC3BA6"/>
    <w:rsid w:val="7AC04D3D"/>
    <w:rsid w:val="7ACB79DF"/>
    <w:rsid w:val="7AD11498"/>
    <w:rsid w:val="7AE46935"/>
    <w:rsid w:val="7AEA5A59"/>
    <w:rsid w:val="7AF9066B"/>
    <w:rsid w:val="7AFE619E"/>
    <w:rsid w:val="7B02493E"/>
    <w:rsid w:val="7B044A3E"/>
    <w:rsid w:val="7B1B2B7A"/>
    <w:rsid w:val="7B237F4E"/>
    <w:rsid w:val="7B275DC7"/>
    <w:rsid w:val="7B2B4B98"/>
    <w:rsid w:val="7B302190"/>
    <w:rsid w:val="7B366E8C"/>
    <w:rsid w:val="7B382F93"/>
    <w:rsid w:val="7B391549"/>
    <w:rsid w:val="7B51313A"/>
    <w:rsid w:val="7B5176D7"/>
    <w:rsid w:val="7B533539"/>
    <w:rsid w:val="7B5864AC"/>
    <w:rsid w:val="7B5E0A81"/>
    <w:rsid w:val="7B5E1D7E"/>
    <w:rsid w:val="7B5F53BF"/>
    <w:rsid w:val="7B674B95"/>
    <w:rsid w:val="7B682240"/>
    <w:rsid w:val="7B6F021A"/>
    <w:rsid w:val="7B712770"/>
    <w:rsid w:val="7B813CBC"/>
    <w:rsid w:val="7B85301F"/>
    <w:rsid w:val="7B8E7066"/>
    <w:rsid w:val="7B9C4EB4"/>
    <w:rsid w:val="7BA02670"/>
    <w:rsid w:val="7BA03CCC"/>
    <w:rsid w:val="7BA337AA"/>
    <w:rsid w:val="7BB35EBE"/>
    <w:rsid w:val="7BBA1F44"/>
    <w:rsid w:val="7BBC6097"/>
    <w:rsid w:val="7BC303E4"/>
    <w:rsid w:val="7BC60E51"/>
    <w:rsid w:val="7BC67077"/>
    <w:rsid w:val="7BE672C5"/>
    <w:rsid w:val="7BF03E5D"/>
    <w:rsid w:val="7BF56AC9"/>
    <w:rsid w:val="7BFA2E01"/>
    <w:rsid w:val="7C2442F9"/>
    <w:rsid w:val="7C3F2388"/>
    <w:rsid w:val="7C457F23"/>
    <w:rsid w:val="7C5667A2"/>
    <w:rsid w:val="7C5D07DA"/>
    <w:rsid w:val="7C621795"/>
    <w:rsid w:val="7C694CA9"/>
    <w:rsid w:val="7C6C6855"/>
    <w:rsid w:val="7C710497"/>
    <w:rsid w:val="7C7B7960"/>
    <w:rsid w:val="7C814E57"/>
    <w:rsid w:val="7C842FC6"/>
    <w:rsid w:val="7C930EE6"/>
    <w:rsid w:val="7C9E7157"/>
    <w:rsid w:val="7CA21CA8"/>
    <w:rsid w:val="7CA53A41"/>
    <w:rsid w:val="7CA61D32"/>
    <w:rsid w:val="7CAC5A08"/>
    <w:rsid w:val="7CB27D16"/>
    <w:rsid w:val="7CC01BDF"/>
    <w:rsid w:val="7CCD01EF"/>
    <w:rsid w:val="7CD802AD"/>
    <w:rsid w:val="7CE410CE"/>
    <w:rsid w:val="7CF24A77"/>
    <w:rsid w:val="7D097768"/>
    <w:rsid w:val="7D0E41B0"/>
    <w:rsid w:val="7D123DF0"/>
    <w:rsid w:val="7D1313D8"/>
    <w:rsid w:val="7D164322"/>
    <w:rsid w:val="7D260544"/>
    <w:rsid w:val="7D2A76C9"/>
    <w:rsid w:val="7D2C5FCD"/>
    <w:rsid w:val="7D396396"/>
    <w:rsid w:val="7D3A4538"/>
    <w:rsid w:val="7D3C6B50"/>
    <w:rsid w:val="7D455169"/>
    <w:rsid w:val="7D551C04"/>
    <w:rsid w:val="7D553764"/>
    <w:rsid w:val="7D626246"/>
    <w:rsid w:val="7D650CF4"/>
    <w:rsid w:val="7D686F2E"/>
    <w:rsid w:val="7D6C0204"/>
    <w:rsid w:val="7D6F31DD"/>
    <w:rsid w:val="7D753A51"/>
    <w:rsid w:val="7D7B6824"/>
    <w:rsid w:val="7D834475"/>
    <w:rsid w:val="7D865931"/>
    <w:rsid w:val="7D8672C9"/>
    <w:rsid w:val="7D88153F"/>
    <w:rsid w:val="7D9D56E8"/>
    <w:rsid w:val="7D9E646B"/>
    <w:rsid w:val="7DA030E8"/>
    <w:rsid w:val="7DA85E7C"/>
    <w:rsid w:val="7DAF3F0B"/>
    <w:rsid w:val="7DB82F14"/>
    <w:rsid w:val="7DBC14DD"/>
    <w:rsid w:val="7DCE66D1"/>
    <w:rsid w:val="7DD07BE7"/>
    <w:rsid w:val="7DE251E9"/>
    <w:rsid w:val="7DFB12B6"/>
    <w:rsid w:val="7E0E0FAF"/>
    <w:rsid w:val="7E15502D"/>
    <w:rsid w:val="7E191A49"/>
    <w:rsid w:val="7E1B6AD0"/>
    <w:rsid w:val="7E1E5CF9"/>
    <w:rsid w:val="7E2D2FD1"/>
    <w:rsid w:val="7E51129A"/>
    <w:rsid w:val="7E514B00"/>
    <w:rsid w:val="7E517B83"/>
    <w:rsid w:val="7E575369"/>
    <w:rsid w:val="7E581720"/>
    <w:rsid w:val="7E592E6E"/>
    <w:rsid w:val="7E5A4FD2"/>
    <w:rsid w:val="7E727B75"/>
    <w:rsid w:val="7E744036"/>
    <w:rsid w:val="7E757AF7"/>
    <w:rsid w:val="7E7D5448"/>
    <w:rsid w:val="7E7E6921"/>
    <w:rsid w:val="7E833662"/>
    <w:rsid w:val="7E8343AD"/>
    <w:rsid w:val="7E853851"/>
    <w:rsid w:val="7E873F5B"/>
    <w:rsid w:val="7E877CED"/>
    <w:rsid w:val="7E8A5BA1"/>
    <w:rsid w:val="7E8A75DA"/>
    <w:rsid w:val="7E9D0713"/>
    <w:rsid w:val="7E9E4582"/>
    <w:rsid w:val="7EAA50AD"/>
    <w:rsid w:val="7EAC102F"/>
    <w:rsid w:val="7EB14263"/>
    <w:rsid w:val="7EC3150E"/>
    <w:rsid w:val="7EDA143E"/>
    <w:rsid w:val="7EDD6824"/>
    <w:rsid w:val="7EE127C8"/>
    <w:rsid w:val="7EEC7760"/>
    <w:rsid w:val="7F091A42"/>
    <w:rsid w:val="7F14706E"/>
    <w:rsid w:val="7F1A4407"/>
    <w:rsid w:val="7F1B511A"/>
    <w:rsid w:val="7F1D3723"/>
    <w:rsid w:val="7F355092"/>
    <w:rsid w:val="7F405483"/>
    <w:rsid w:val="7F417B69"/>
    <w:rsid w:val="7F5127F8"/>
    <w:rsid w:val="7F516F67"/>
    <w:rsid w:val="7F5325F0"/>
    <w:rsid w:val="7F5B201D"/>
    <w:rsid w:val="7F6B08C8"/>
    <w:rsid w:val="7F6F6CED"/>
    <w:rsid w:val="7F735319"/>
    <w:rsid w:val="7FA45F84"/>
    <w:rsid w:val="7FAB51F9"/>
    <w:rsid w:val="7FB24872"/>
    <w:rsid w:val="7FBD7CD7"/>
    <w:rsid w:val="7FCC08D8"/>
    <w:rsid w:val="7FCF0987"/>
    <w:rsid w:val="7FCF71C2"/>
    <w:rsid w:val="7FDE26C5"/>
    <w:rsid w:val="7FEB71CB"/>
    <w:rsid w:val="7FFC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rPr>
  </w:style>
  <w:style w:type="paragraph" w:customStyle="1" w:styleId="5">
    <w:name w:val="正文 + (中文) 仿宋_GB2312"/>
    <w:basedOn w:val="1"/>
    <w:qFormat/>
    <w:uiPriority w:val="0"/>
    <w:pPr>
      <w:adjustRightInd w:val="0"/>
      <w:snapToGrid w:val="0"/>
      <w:spacing w:line="560" w:lineRule="exact"/>
    </w:pPr>
    <w:rPr>
      <w:rFonts w:eastAsia="仿宋_GB2312"/>
      <w:sz w:val="30"/>
      <w:szCs w:val="30"/>
    </w:rPr>
  </w:style>
  <w:style w:type="paragraph" w:customStyle="1" w:styleId="6">
    <w:name w:val="标准正文"/>
    <w:qFormat/>
    <w:uiPriority w:val="99"/>
    <w:pPr>
      <w:spacing w:line="360" w:lineRule="auto"/>
      <w:ind w:firstLine="200" w:firstLineChars="200"/>
      <w:jc w:val="both"/>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2025-04-01T01:23:00Z</dcterms:created>
  <dc:creator>江杨</dc:creator>
  <cp:lastModifiedBy> </cp:lastModifiedBy>
  <dcterms:modified xsi:type="dcterms:W3CDTF">2025-04-01T06:04:13Z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DE9AB9546E284B0C918C652410AF197D</vt:lpwstr>
  </property>
</Properties>
</file>