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  <w:t>吉安稠州村镇银行股份有限公司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  <w:t>年重大关联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  <w:t>交易披露报告（第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  <w:t>期）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根据《银行保险机构关联交易管理办法》（中国银保监会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号令）等有关规定，现将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稠州村镇银行股份有限公司（以下简称“本行”）近期重大关联交易披露如下：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一、关联交易概述及交易标的情况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日，本行向关联方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刘振福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发放贷款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930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万元，业务品种为短期个人经营性贷款，还款方式为按月付息，到期还本，期限壹年；担保方式为吉安浙赣房地产开发有限公司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名下抵押物作为抵押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刘日怀、刘佩、江西大丰两岸生态农业有限公司、吉安浙赣房地产开发有限公司、吉安大丰实业有限公司提供全额连带责任保证担保。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日，本行向关联方刘日怀发放贷款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899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万元，业务品种为短期个人经营性贷款，还款方式为按月付息，到期还本，期限壹年；担保方式为担保方式为吉安浙赣房地产开发有限公司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名下抵押物作为抵押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刘振福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邱茅萍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、江西大丰两岸生态农业有限公司、吉安浙赣房地产开发有限公司、吉安大丰实业有限公司提供全额连带责任保证担保。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日，本行向关联方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吉安大丰实业有限公司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发放贷款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470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万元，业务品种为短期流动资金贷款，还款方式为按月付息，到期还本，期限壹年；担保方式为吉安浙赣房地产开发有限公司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名下抵押物作为抵押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刘振福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邱茅萍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刘日怀、刘佩、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江西大丰两岸生态农业有限公司、吉安浙赣房地产开发有限公司、提供全额连带责任保证担保。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二、交易对手情况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吉安大丰实业有限公司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成立于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日，注册资本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万元，注册地址为江西省吉安市吉安县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工业园西区朝阳路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，法定代表人均为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刘振福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，股东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为刘振福、邱茅萍，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经营范围为房屋建筑和市政基础设施项目工程总承包，公路管理与养护，各类工程建设活动，城市生活垃圾经营性服务，建筑智能化工程施工，消防技术服务，消防设施工程施工，建设工程设计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城市绿化管理，园林绿化工程施工，住宅水电安装维护服务，建筑材料销售，建筑用钢筋产品销售，市政设施管理，砼结构构件制造，砼结构构件销售，水泥制品制造，水泥制品销售，房屋拆迁服务，非居住房地产租赁，土地使用权租赁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刘振福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，男，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岁，配偶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邱茅萍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江西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刘日怀，男，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配偶刘佩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岁，江西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吉安大丰实业有限公司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实际控制人是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刘振福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刘振福为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本行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股东，刘日怀为刘振福近亲属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。按照《银行保险机构关联交易管理办法》规定，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刘振福、刘日怀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吉安大丰实业有限公司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均为本行关联方。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三、定价政策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本行与关联方之间的交易严格按照商业原则和内部审批程序，以不优于非关联方同类交易的条件进行，关联交易定价遵循国家规定及市场价格规则。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四、关联交易金额及相应比例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GB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GB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，本行董事会审议通过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刘振福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续授信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930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万元、刘日怀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续授信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900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吉安大丰实业有限公司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续授信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合计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2330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的重大关联交易，此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授信关联方发生的交易金额累计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2330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占本行资本净额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%，按照实质重于形式原则，我行认定该授信属于重大关联交易。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五、风险管理与关联交易控制委员会、董事会审查审议情况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该笔重大关联交易经由本行风险管理与关联交易控制委员会审查后，于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GB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GB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GB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日提交本行董事会审议，经本行董事会审议表决通过。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六、独立董事发表意见情况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暂无。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七、其他事项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我行已向监管部门报告上述交易情况。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吉安稠州村镇银行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140B"/>
    <w:rsid w:val="014305F1"/>
    <w:rsid w:val="05B25F94"/>
    <w:rsid w:val="05DD3C30"/>
    <w:rsid w:val="100254A9"/>
    <w:rsid w:val="12FE59B8"/>
    <w:rsid w:val="135A4A4C"/>
    <w:rsid w:val="150B3FE2"/>
    <w:rsid w:val="191F35C3"/>
    <w:rsid w:val="1B515E62"/>
    <w:rsid w:val="1DF90E7A"/>
    <w:rsid w:val="20E40D06"/>
    <w:rsid w:val="237A63C1"/>
    <w:rsid w:val="26F66586"/>
    <w:rsid w:val="28463A4A"/>
    <w:rsid w:val="291256ED"/>
    <w:rsid w:val="2B6D0615"/>
    <w:rsid w:val="2C74067E"/>
    <w:rsid w:val="2E076F90"/>
    <w:rsid w:val="322F72FD"/>
    <w:rsid w:val="34120229"/>
    <w:rsid w:val="3616624B"/>
    <w:rsid w:val="36927D93"/>
    <w:rsid w:val="386D1C23"/>
    <w:rsid w:val="393410A0"/>
    <w:rsid w:val="3CEF7A26"/>
    <w:rsid w:val="3DDD580C"/>
    <w:rsid w:val="3E3339E7"/>
    <w:rsid w:val="3EDA368B"/>
    <w:rsid w:val="3F366D42"/>
    <w:rsid w:val="40A73721"/>
    <w:rsid w:val="4275470F"/>
    <w:rsid w:val="4583068E"/>
    <w:rsid w:val="463B044D"/>
    <w:rsid w:val="46853F07"/>
    <w:rsid w:val="46A21AB1"/>
    <w:rsid w:val="49624874"/>
    <w:rsid w:val="49F650E8"/>
    <w:rsid w:val="4F020FAD"/>
    <w:rsid w:val="533710DA"/>
    <w:rsid w:val="55964CF9"/>
    <w:rsid w:val="56987D9F"/>
    <w:rsid w:val="58924D17"/>
    <w:rsid w:val="58A10A8E"/>
    <w:rsid w:val="5C437540"/>
    <w:rsid w:val="5DB82790"/>
    <w:rsid w:val="5DCA6C4D"/>
    <w:rsid w:val="624834CE"/>
    <w:rsid w:val="674D05B9"/>
    <w:rsid w:val="69756114"/>
    <w:rsid w:val="6A357F06"/>
    <w:rsid w:val="6AC34221"/>
    <w:rsid w:val="6ACB6DA4"/>
    <w:rsid w:val="6B7610DD"/>
    <w:rsid w:val="6D290723"/>
    <w:rsid w:val="6E5F380F"/>
    <w:rsid w:val="6FD6290B"/>
    <w:rsid w:val="71F260FE"/>
    <w:rsid w:val="76AD6308"/>
    <w:rsid w:val="7C9C22FF"/>
    <w:rsid w:val="7DE3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2024-03-15T08:25:00Z</dcterms:created>
  <dc:creator>czcb</dc:creator>
  <cp:lastModifiedBy>刘欣</cp:lastModifiedBy>
  <dcterms:modified xsi:type="dcterms:W3CDTF">2026-04-22T01:44:18Z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486A40B4D62E4C059C963085868ABF3A</vt:lpwstr>
  </property>
</Properties>
</file>